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7D6F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b/>
          <w:sz w:val="28"/>
          <w:szCs w:val="28"/>
        </w:rPr>
      </w:pPr>
      <w:r>
        <w:rPr>
          <w:rFonts w:hint="eastAsia" w:ascii="宋体" w:hAnsi="宋体" w:eastAsia="宋体"/>
          <w:b/>
          <w:sz w:val="28"/>
          <w:szCs w:val="28"/>
        </w:rPr>
        <w:t>第十二届“中华杯”职业技能计算机维修工技能竞赛方案</w:t>
      </w:r>
    </w:p>
    <w:p w14:paraId="52C60F6F">
      <w:pPr>
        <w:pStyle w:val="12"/>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cs="宋体"/>
          <w:b/>
          <w:sz w:val="28"/>
          <w:szCs w:val="28"/>
        </w:rPr>
      </w:pPr>
      <w:r>
        <w:rPr>
          <w:rFonts w:hint="eastAsia" w:ascii="宋体" w:hAnsi="宋体" w:eastAsia="宋体" w:cs="宋体"/>
          <w:b/>
          <w:sz w:val="28"/>
          <w:szCs w:val="28"/>
        </w:rPr>
        <w:t>竞赛目的</w:t>
      </w:r>
    </w:p>
    <w:p w14:paraId="134AECFE">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 xml:space="preserve">秉承中华职业教育社优良传统，大力弘扬工匠精神，坚持“面向社会、面向青年、面向技能”的竞赛宗旨，通过计算机维修工竞赛，为信息产业新技术职业技能人才搭建展示技艺的平台，提供切磋交流的载体，营造崇尚技能、匠心筑梦的良好社会氛围。 </w:t>
      </w:r>
    </w:p>
    <w:p w14:paraId="3C7293AE">
      <w:pPr>
        <w:pStyle w:val="12"/>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cs="宋体"/>
          <w:b/>
          <w:sz w:val="28"/>
          <w:szCs w:val="28"/>
        </w:rPr>
      </w:pPr>
      <w:r>
        <w:rPr>
          <w:rFonts w:hint="eastAsia" w:ascii="宋体" w:hAnsi="宋体" w:eastAsia="宋体" w:cs="宋体"/>
          <w:b/>
          <w:sz w:val="28"/>
          <w:szCs w:val="28"/>
        </w:rPr>
        <w:t>主办单位</w:t>
      </w:r>
    </w:p>
    <w:p w14:paraId="12985806">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上海中华职业教育社</w:t>
      </w:r>
    </w:p>
    <w:p w14:paraId="7975A189">
      <w:pPr>
        <w:pStyle w:val="12"/>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cs="宋体"/>
          <w:bCs/>
          <w:sz w:val="28"/>
          <w:szCs w:val="28"/>
        </w:rPr>
      </w:pPr>
      <w:r>
        <w:rPr>
          <w:rFonts w:hint="eastAsia" w:ascii="宋体" w:hAnsi="宋体" w:eastAsia="宋体" w:cs="宋体"/>
          <w:bCs/>
          <w:sz w:val="28"/>
          <w:szCs w:val="28"/>
        </w:rPr>
        <w:t>承办协办单位</w:t>
      </w:r>
      <w:bookmarkStart w:id="0" w:name="_GoBack"/>
      <w:bookmarkEnd w:id="0"/>
    </w:p>
    <w:p w14:paraId="5F1FA381">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徐汇区中华职业教育社、徐汇职业教育集团、上海市工商外国语学校、中盈创信（北京）科技有限公司</w:t>
      </w:r>
    </w:p>
    <w:p w14:paraId="4654A2C0">
      <w:pPr>
        <w:pStyle w:val="12"/>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cs="宋体"/>
          <w:b/>
          <w:sz w:val="28"/>
          <w:szCs w:val="28"/>
        </w:rPr>
      </w:pPr>
      <w:r>
        <w:rPr>
          <w:rFonts w:hint="eastAsia" w:ascii="宋体" w:hAnsi="宋体" w:eastAsia="宋体" w:cs="宋体"/>
          <w:b/>
          <w:sz w:val="28"/>
          <w:szCs w:val="28"/>
        </w:rPr>
        <w:t>竞赛对象</w:t>
      </w:r>
    </w:p>
    <w:p w14:paraId="37F47E9C">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社会从业人员、职业院校师生、社会培训机构学员。</w:t>
      </w:r>
    </w:p>
    <w:p w14:paraId="39A9FEDD">
      <w:pPr>
        <w:pStyle w:val="12"/>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cs="宋体"/>
          <w:b/>
          <w:sz w:val="28"/>
          <w:szCs w:val="28"/>
        </w:rPr>
      </w:pPr>
      <w:r>
        <w:rPr>
          <w:rFonts w:hint="eastAsia" w:ascii="宋体" w:hAnsi="宋体" w:eastAsia="宋体" w:cs="宋体"/>
          <w:b/>
          <w:sz w:val="28"/>
          <w:szCs w:val="28"/>
        </w:rPr>
        <w:t>报名办法</w:t>
      </w:r>
    </w:p>
    <w:p w14:paraId="49A3361B">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报名日期：2024年10月15日前</w:t>
      </w:r>
    </w:p>
    <w:p w14:paraId="155F9123">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 xml:space="preserve">报名时填写“2024年第十二届上海市‘中华杯’职业技能竞赛报名表”（后将另发），可用电子邮件形式通过网上报名。报名邮箱地址：wangqizong@intransing.com </w:t>
      </w:r>
    </w:p>
    <w:p w14:paraId="0E4FB1B4">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联系人：王启宗，联系电话（手机）：15000043446</w:t>
      </w:r>
    </w:p>
    <w:p w14:paraId="2260EC88">
      <w:pPr>
        <w:pStyle w:val="12"/>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cs="宋体"/>
          <w:b/>
          <w:sz w:val="28"/>
          <w:szCs w:val="28"/>
        </w:rPr>
      </w:pPr>
      <w:r>
        <w:rPr>
          <w:rFonts w:hint="eastAsia" w:ascii="宋体" w:hAnsi="宋体" w:eastAsia="宋体" w:cs="宋体"/>
          <w:b/>
          <w:sz w:val="28"/>
          <w:szCs w:val="28"/>
        </w:rPr>
        <w:t>参赛规则</w:t>
      </w:r>
    </w:p>
    <w:p w14:paraId="569C8734">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1.竞赛项目名称：计算机维修工</w:t>
      </w:r>
    </w:p>
    <w:p w14:paraId="4DFBAD1B">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2.竞赛形式：个人赛</w:t>
      </w:r>
    </w:p>
    <w:p w14:paraId="4B2CCF22">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3.竞赛时长：3小时</w:t>
      </w:r>
    </w:p>
    <w:p w14:paraId="11131B87">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4.竞赛说明</w:t>
      </w:r>
    </w:p>
    <w:p w14:paraId="7B5EE256">
      <w:pPr>
        <w:pStyle w:val="12"/>
        <w:keepNext w:val="0"/>
        <w:keepLines w:val="0"/>
        <w:pageBreakBefore w:val="0"/>
        <w:widowControl/>
        <w:kinsoku/>
        <w:wordWrap/>
        <w:overflowPunct/>
        <w:topLinePunct w:val="0"/>
        <w:autoSpaceDE/>
        <w:autoSpaceDN/>
        <w:bidi w:val="0"/>
        <w:adjustRightInd w:val="0"/>
        <w:snapToGrid w:val="0"/>
        <w:spacing w:after="0" w:line="440" w:lineRule="exact"/>
        <w:ind w:left="561" w:firstLine="560"/>
        <w:textAlignment w:val="auto"/>
        <w:rPr>
          <w:rFonts w:hint="eastAsia" w:ascii="宋体" w:hAnsi="宋体" w:eastAsia="宋体" w:cs="宋体"/>
          <w:bCs/>
          <w:sz w:val="28"/>
          <w:szCs w:val="28"/>
        </w:rPr>
      </w:pPr>
      <w:r>
        <w:rPr>
          <w:rFonts w:hint="eastAsia" w:ascii="宋体" w:hAnsi="宋体" w:eastAsia="宋体" w:cs="宋体"/>
          <w:bCs/>
          <w:sz w:val="28"/>
          <w:szCs w:val="28"/>
        </w:rPr>
        <w:t>本次竞赛主要考察电子计算机维修工职业岗位在实际用户服务的工作场场景当中，对计算机及主要外围设备组成的计算机系统进行检测、调试、维护修理、数据备份与恢复等多个核心工作任务的职业技能水平，全面考察参赛选手在过程当中的工作技能、工艺水平、完成速度和综合职业素养能力</w:t>
      </w:r>
    </w:p>
    <w:p w14:paraId="1D46BF1A">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5.竞赛设备</w:t>
      </w:r>
    </w:p>
    <w:p w14:paraId="2BA725BA">
      <w:pPr>
        <w:pStyle w:val="12"/>
        <w:keepNext w:val="0"/>
        <w:keepLines w:val="0"/>
        <w:pageBreakBefore w:val="0"/>
        <w:widowControl/>
        <w:numPr>
          <w:ilvl w:val="0"/>
          <w:numId w:val="2"/>
        </w:numPr>
        <w:kinsoku/>
        <w:wordWrap/>
        <w:overflowPunct/>
        <w:topLinePunct w:val="0"/>
        <w:autoSpaceDE/>
        <w:autoSpaceDN/>
        <w:bidi w:val="0"/>
        <w:adjustRightInd w:val="0"/>
        <w:snapToGrid w:val="0"/>
        <w:spacing w:after="0" w:line="440" w:lineRule="exact"/>
        <w:ind w:left="1009" w:hanging="442" w:firstLineChars="0"/>
        <w:contextualSpacing/>
        <w:textAlignment w:val="auto"/>
        <w:rPr>
          <w:rFonts w:hint="eastAsia" w:ascii="宋体" w:hAnsi="宋体" w:eastAsia="宋体" w:cs="宋体"/>
          <w:bCs/>
          <w:sz w:val="28"/>
          <w:szCs w:val="28"/>
        </w:rPr>
      </w:pPr>
      <w:r>
        <w:rPr>
          <w:rFonts w:hint="eastAsia" w:ascii="宋体" w:hAnsi="宋体" w:eastAsia="宋体" w:cs="宋体"/>
          <w:bCs/>
          <w:sz w:val="28"/>
          <w:szCs w:val="28"/>
        </w:rPr>
        <w:t>比赛器材</w:t>
      </w:r>
    </w:p>
    <w:tbl>
      <w:tblPr>
        <w:tblStyle w:val="9"/>
        <w:tblW w:w="5287" w:type="pct"/>
        <w:tblInd w:w="0" w:type="dxa"/>
        <w:tblLayout w:type="autofit"/>
        <w:tblCellMar>
          <w:top w:w="0" w:type="dxa"/>
          <w:left w:w="108" w:type="dxa"/>
          <w:bottom w:w="0" w:type="dxa"/>
          <w:right w:w="108" w:type="dxa"/>
        </w:tblCellMar>
      </w:tblPr>
      <w:tblGrid>
        <w:gridCol w:w="739"/>
        <w:gridCol w:w="1528"/>
        <w:gridCol w:w="6744"/>
      </w:tblGrid>
      <w:tr w14:paraId="5AD3179D">
        <w:tblPrEx>
          <w:tblCellMar>
            <w:top w:w="0" w:type="dxa"/>
            <w:left w:w="108" w:type="dxa"/>
            <w:bottom w:w="0" w:type="dxa"/>
            <w:right w:w="108" w:type="dxa"/>
          </w:tblCellMar>
        </w:tblPrEx>
        <w:trPr>
          <w:trHeight w:val="317" w:hRule="atLeast"/>
        </w:trPr>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4E356C24">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序号</w:t>
            </w:r>
          </w:p>
        </w:tc>
        <w:tc>
          <w:tcPr>
            <w:tcW w:w="848" w:type="pct"/>
            <w:tcBorders>
              <w:top w:val="single" w:color="auto" w:sz="4" w:space="0"/>
              <w:left w:val="nil"/>
              <w:bottom w:val="single" w:color="auto" w:sz="4" w:space="0"/>
              <w:right w:val="single" w:color="auto" w:sz="4" w:space="0"/>
            </w:tcBorders>
            <w:shd w:val="clear" w:color="auto" w:fill="auto"/>
            <w:vAlign w:val="center"/>
          </w:tcPr>
          <w:p w14:paraId="728292BE">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仪器设备</w:t>
            </w:r>
          </w:p>
        </w:tc>
        <w:tc>
          <w:tcPr>
            <w:tcW w:w="3742" w:type="pct"/>
            <w:tcBorders>
              <w:top w:val="single" w:color="auto" w:sz="4" w:space="0"/>
              <w:left w:val="nil"/>
              <w:bottom w:val="single" w:color="auto" w:sz="4" w:space="0"/>
              <w:right w:val="single" w:color="auto" w:sz="4" w:space="0"/>
            </w:tcBorders>
            <w:shd w:val="clear" w:color="auto" w:fill="auto"/>
            <w:vAlign w:val="center"/>
          </w:tcPr>
          <w:p w14:paraId="164471EC">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规格说明</w:t>
            </w:r>
          </w:p>
        </w:tc>
      </w:tr>
      <w:tr w14:paraId="62508A2E">
        <w:tblPrEx>
          <w:tblCellMar>
            <w:top w:w="0" w:type="dxa"/>
            <w:left w:w="108" w:type="dxa"/>
            <w:bottom w:w="0" w:type="dxa"/>
            <w:right w:w="108" w:type="dxa"/>
          </w:tblCellMar>
        </w:tblPrEx>
        <w:trPr>
          <w:trHeight w:val="20" w:hRule="atLeast"/>
        </w:trPr>
        <w:tc>
          <w:tcPr>
            <w:tcW w:w="410" w:type="pct"/>
            <w:tcBorders>
              <w:top w:val="nil"/>
              <w:left w:val="single" w:color="auto" w:sz="4" w:space="0"/>
              <w:bottom w:val="single" w:color="auto" w:sz="4" w:space="0"/>
              <w:right w:val="single" w:color="auto" w:sz="4" w:space="0"/>
            </w:tcBorders>
            <w:vAlign w:val="center"/>
          </w:tcPr>
          <w:p w14:paraId="6F3DDAAB">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1</w:t>
            </w:r>
          </w:p>
        </w:tc>
        <w:tc>
          <w:tcPr>
            <w:tcW w:w="848" w:type="pct"/>
            <w:tcBorders>
              <w:top w:val="nil"/>
              <w:left w:val="nil"/>
              <w:bottom w:val="single" w:color="auto" w:sz="4" w:space="0"/>
              <w:right w:val="single" w:color="auto" w:sz="4" w:space="0"/>
            </w:tcBorders>
            <w:vAlign w:val="center"/>
          </w:tcPr>
          <w:p w14:paraId="32FABCE5">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维修工作台</w:t>
            </w:r>
          </w:p>
        </w:tc>
        <w:tc>
          <w:tcPr>
            <w:tcW w:w="3742" w:type="pct"/>
            <w:tcBorders>
              <w:top w:val="nil"/>
              <w:left w:val="nil"/>
              <w:bottom w:val="single" w:color="auto" w:sz="4" w:space="0"/>
              <w:right w:val="single" w:color="auto" w:sz="4" w:space="0"/>
            </w:tcBorders>
            <w:vAlign w:val="center"/>
          </w:tcPr>
          <w:p w14:paraId="582D70E3">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防静电维修工作台；</w:t>
            </w:r>
          </w:p>
        </w:tc>
      </w:tr>
      <w:tr w14:paraId="218B9916">
        <w:tblPrEx>
          <w:tblCellMar>
            <w:top w:w="0" w:type="dxa"/>
            <w:left w:w="108" w:type="dxa"/>
            <w:bottom w:w="0" w:type="dxa"/>
            <w:right w:w="108" w:type="dxa"/>
          </w:tblCellMar>
        </w:tblPrEx>
        <w:trPr>
          <w:trHeight w:val="20" w:hRule="atLeast"/>
        </w:trPr>
        <w:tc>
          <w:tcPr>
            <w:tcW w:w="410" w:type="pct"/>
            <w:tcBorders>
              <w:top w:val="nil"/>
              <w:left w:val="single" w:color="auto" w:sz="4" w:space="0"/>
              <w:bottom w:val="single" w:color="auto" w:sz="4" w:space="0"/>
              <w:right w:val="single" w:color="auto" w:sz="4" w:space="0"/>
            </w:tcBorders>
            <w:vAlign w:val="center"/>
          </w:tcPr>
          <w:p w14:paraId="46D1FF1F">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2</w:t>
            </w:r>
          </w:p>
        </w:tc>
        <w:tc>
          <w:tcPr>
            <w:tcW w:w="848" w:type="pct"/>
            <w:tcBorders>
              <w:top w:val="nil"/>
              <w:left w:val="nil"/>
              <w:bottom w:val="single" w:color="auto" w:sz="4" w:space="0"/>
              <w:right w:val="single" w:color="auto" w:sz="4" w:space="0"/>
            </w:tcBorders>
            <w:vAlign w:val="center"/>
          </w:tcPr>
          <w:p w14:paraId="01351E2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数字万用表</w:t>
            </w:r>
          </w:p>
        </w:tc>
        <w:tc>
          <w:tcPr>
            <w:tcW w:w="3742" w:type="pct"/>
            <w:tcBorders>
              <w:top w:val="nil"/>
              <w:left w:val="nil"/>
              <w:bottom w:val="single" w:color="auto" w:sz="4" w:space="0"/>
              <w:right w:val="single" w:color="auto" w:sz="4" w:space="0"/>
            </w:tcBorders>
            <w:vAlign w:val="center"/>
          </w:tcPr>
          <w:p w14:paraId="6DD1B7F8">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交流电压750V±(0.8%+3)，直流电流10A±(0.8%+1)，直流电压1000V±(0.5%+1)，交流电流10A±(1%+3)，电阻40MW±(0.8%+1)，电容10mF±(4%+3)</w:t>
            </w:r>
          </w:p>
        </w:tc>
      </w:tr>
      <w:tr w14:paraId="65D6F3D3">
        <w:tblPrEx>
          <w:tblCellMar>
            <w:top w:w="0" w:type="dxa"/>
            <w:left w:w="108" w:type="dxa"/>
            <w:bottom w:w="0" w:type="dxa"/>
            <w:right w:w="108" w:type="dxa"/>
          </w:tblCellMar>
        </w:tblPrEx>
        <w:trPr>
          <w:trHeight w:val="20" w:hRule="atLeast"/>
        </w:trPr>
        <w:tc>
          <w:tcPr>
            <w:tcW w:w="410" w:type="pct"/>
            <w:tcBorders>
              <w:top w:val="nil"/>
              <w:left w:val="single" w:color="auto" w:sz="4" w:space="0"/>
              <w:bottom w:val="single" w:color="auto" w:sz="4" w:space="0"/>
              <w:right w:val="single" w:color="auto" w:sz="4" w:space="0"/>
            </w:tcBorders>
            <w:vAlign w:val="center"/>
          </w:tcPr>
          <w:p w14:paraId="037CA6E8">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3</w:t>
            </w:r>
          </w:p>
        </w:tc>
        <w:tc>
          <w:tcPr>
            <w:tcW w:w="848" w:type="pct"/>
            <w:tcBorders>
              <w:top w:val="nil"/>
              <w:left w:val="nil"/>
              <w:bottom w:val="single" w:color="auto" w:sz="4" w:space="0"/>
              <w:right w:val="single" w:color="auto" w:sz="4" w:space="0"/>
            </w:tcBorders>
            <w:vAlign w:val="center"/>
          </w:tcPr>
          <w:p w14:paraId="601BB173">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恒温烙铁</w:t>
            </w:r>
          </w:p>
        </w:tc>
        <w:tc>
          <w:tcPr>
            <w:tcW w:w="3742" w:type="pct"/>
            <w:tcBorders>
              <w:top w:val="nil"/>
              <w:left w:val="nil"/>
              <w:bottom w:val="single" w:color="auto" w:sz="4" w:space="0"/>
              <w:right w:val="single" w:color="auto" w:sz="4" w:space="0"/>
            </w:tcBorders>
            <w:vAlign w:val="center"/>
          </w:tcPr>
          <w:p w14:paraId="21737833">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温度调节范围：150℃～450℃</w:t>
            </w:r>
          </w:p>
        </w:tc>
      </w:tr>
      <w:tr w14:paraId="2A09A554">
        <w:tblPrEx>
          <w:tblCellMar>
            <w:top w:w="0" w:type="dxa"/>
            <w:left w:w="108" w:type="dxa"/>
            <w:bottom w:w="0" w:type="dxa"/>
            <w:right w:w="108" w:type="dxa"/>
          </w:tblCellMar>
        </w:tblPrEx>
        <w:trPr>
          <w:trHeight w:val="20" w:hRule="atLeast"/>
        </w:trPr>
        <w:tc>
          <w:tcPr>
            <w:tcW w:w="410" w:type="pct"/>
            <w:tcBorders>
              <w:top w:val="single" w:color="auto" w:sz="4" w:space="0"/>
              <w:left w:val="single" w:color="auto" w:sz="4" w:space="0"/>
              <w:bottom w:val="single" w:color="auto" w:sz="4" w:space="0"/>
              <w:right w:val="single" w:color="auto" w:sz="4" w:space="0"/>
            </w:tcBorders>
            <w:vAlign w:val="center"/>
          </w:tcPr>
          <w:p w14:paraId="0254C172">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4</w:t>
            </w:r>
          </w:p>
        </w:tc>
        <w:tc>
          <w:tcPr>
            <w:tcW w:w="848" w:type="pct"/>
            <w:tcBorders>
              <w:top w:val="single" w:color="auto" w:sz="4" w:space="0"/>
              <w:left w:val="nil"/>
              <w:bottom w:val="single" w:color="auto" w:sz="4" w:space="0"/>
              <w:right w:val="single" w:color="auto" w:sz="4" w:space="0"/>
            </w:tcBorders>
            <w:vAlign w:val="center"/>
          </w:tcPr>
          <w:p w14:paraId="088DD316">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热风焊台</w:t>
            </w:r>
          </w:p>
        </w:tc>
        <w:tc>
          <w:tcPr>
            <w:tcW w:w="3742" w:type="pct"/>
            <w:tcBorders>
              <w:top w:val="single" w:color="auto" w:sz="4" w:space="0"/>
              <w:left w:val="nil"/>
              <w:bottom w:val="single" w:color="auto" w:sz="4" w:space="0"/>
              <w:right w:val="single" w:color="auto" w:sz="4" w:space="0"/>
            </w:tcBorders>
            <w:vAlign w:val="center"/>
          </w:tcPr>
          <w:p w14:paraId="43E7ADF7">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温度调节范围：100℃～480℃</w:t>
            </w:r>
          </w:p>
        </w:tc>
      </w:tr>
      <w:tr w14:paraId="5F64E22D">
        <w:tblPrEx>
          <w:tblCellMar>
            <w:top w:w="0" w:type="dxa"/>
            <w:left w:w="108" w:type="dxa"/>
            <w:bottom w:w="0" w:type="dxa"/>
            <w:right w:w="108" w:type="dxa"/>
          </w:tblCellMar>
        </w:tblPrEx>
        <w:trPr>
          <w:trHeight w:val="20" w:hRule="atLeast"/>
        </w:trPr>
        <w:tc>
          <w:tcPr>
            <w:tcW w:w="410" w:type="pct"/>
            <w:tcBorders>
              <w:top w:val="single" w:color="auto" w:sz="4" w:space="0"/>
              <w:left w:val="single" w:color="auto" w:sz="4" w:space="0"/>
              <w:bottom w:val="single" w:color="auto" w:sz="4" w:space="0"/>
              <w:right w:val="single" w:color="auto" w:sz="4" w:space="0"/>
            </w:tcBorders>
            <w:vAlign w:val="center"/>
          </w:tcPr>
          <w:p w14:paraId="4F185271">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5</w:t>
            </w:r>
          </w:p>
        </w:tc>
        <w:tc>
          <w:tcPr>
            <w:tcW w:w="848" w:type="pct"/>
            <w:tcBorders>
              <w:top w:val="single" w:color="auto" w:sz="4" w:space="0"/>
              <w:left w:val="nil"/>
              <w:bottom w:val="single" w:color="auto" w:sz="4" w:space="0"/>
              <w:right w:val="single" w:color="auto" w:sz="4" w:space="0"/>
            </w:tcBorders>
            <w:vAlign w:val="center"/>
          </w:tcPr>
          <w:p w14:paraId="731FAB77">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工具</w:t>
            </w:r>
          </w:p>
        </w:tc>
        <w:tc>
          <w:tcPr>
            <w:tcW w:w="3742" w:type="pct"/>
            <w:tcBorders>
              <w:top w:val="single" w:color="auto" w:sz="4" w:space="0"/>
              <w:left w:val="nil"/>
              <w:bottom w:val="single" w:color="auto" w:sz="4" w:space="0"/>
              <w:right w:val="single" w:color="auto" w:sz="4" w:space="0"/>
            </w:tcBorders>
            <w:vAlign w:val="center"/>
          </w:tcPr>
          <w:p w14:paraId="2101DC15">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含焊锡丝、防静电镊子等</w:t>
            </w:r>
          </w:p>
        </w:tc>
      </w:tr>
      <w:tr w14:paraId="04DBC620">
        <w:tblPrEx>
          <w:tblCellMar>
            <w:top w:w="0" w:type="dxa"/>
            <w:left w:w="108" w:type="dxa"/>
            <w:bottom w:w="0" w:type="dxa"/>
            <w:right w:w="108" w:type="dxa"/>
          </w:tblCellMar>
        </w:tblPrEx>
        <w:trPr>
          <w:trHeight w:val="20" w:hRule="atLeast"/>
        </w:trPr>
        <w:tc>
          <w:tcPr>
            <w:tcW w:w="410" w:type="pct"/>
            <w:tcBorders>
              <w:top w:val="single" w:color="auto" w:sz="4" w:space="0"/>
              <w:left w:val="single" w:color="auto" w:sz="4" w:space="0"/>
              <w:bottom w:val="single" w:color="auto" w:sz="4" w:space="0"/>
              <w:right w:val="single" w:color="auto" w:sz="4" w:space="0"/>
            </w:tcBorders>
            <w:vAlign w:val="center"/>
          </w:tcPr>
          <w:p w14:paraId="3C45BC4D">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6</w:t>
            </w:r>
          </w:p>
        </w:tc>
        <w:tc>
          <w:tcPr>
            <w:tcW w:w="848" w:type="pct"/>
            <w:tcBorders>
              <w:top w:val="single" w:color="auto" w:sz="4" w:space="0"/>
              <w:left w:val="nil"/>
              <w:bottom w:val="single" w:color="auto" w:sz="4" w:space="0"/>
              <w:right w:val="single" w:color="auto" w:sz="4" w:space="0"/>
            </w:tcBorders>
            <w:vAlign w:val="center"/>
          </w:tcPr>
          <w:p w14:paraId="5A55BBA6">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数据恢复平台</w:t>
            </w:r>
          </w:p>
        </w:tc>
        <w:tc>
          <w:tcPr>
            <w:tcW w:w="3742" w:type="pct"/>
            <w:tcBorders>
              <w:top w:val="single" w:color="auto" w:sz="4" w:space="0"/>
              <w:left w:val="nil"/>
              <w:bottom w:val="single" w:color="auto" w:sz="4" w:space="0"/>
              <w:right w:val="single" w:color="auto" w:sz="4" w:space="0"/>
            </w:tcBorders>
            <w:vAlign w:val="center"/>
          </w:tcPr>
          <w:p w14:paraId="260CBBCE">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1、设备须为一体设计结构，集成度高，方便学生使用；</w:t>
            </w:r>
          </w:p>
          <w:p w14:paraId="518D81E9">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2、设备含有液晶显示屏、键盘、鼠标；</w:t>
            </w:r>
          </w:p>
          <w:p w14:paraId="3CBDAAB3">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3、提供2个SATA接口和2个USB接口；</w:t>
            </w:r>
          </w:p>
          <w:p w14:paraId="534A73D0">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4、支持IDE、SATA、USB、ESATA等硬盘接口；</w:t>
            </w:r>
          </w:p>
          <w:p w14:paraId="6A49C3C8">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5、设备支持快速打开分区，对于文件系统参数错误的分区可以直接打开并快速提取数据；</w:t>
            </w:r>
          </w:p>
          <w:p w14:paraId="2AE8CBF7">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6、在扫描上分为简单、完全和快速三种扫描方式。并且支持各文件系统的RAW扫描方式。设备能够进行硬盘逻辑故障数据恢复实训，能够进行文件及分区的逻辑性数据销毁的实训；</w:t>
            </w:r>
          </w:p>
          <w:p w14:paraId="3FE58352">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7、支持多种文件系统恢复，其中包含FAT\EXFAT\NTFS\EXT2\3\4\UFS\HFS等文件系统；</w:t>
            </w:r>
          </w:p>
          <w:p w14:paraId="62EBAA4B">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8、支持同时扫描多种文件系统并可将得出多种结论按照正常级别分类排列展示给用户，方便用户的查找。支持单分区扫描和整盘扫描。对于对分区表不熟悉的用户可以简单的查找各个分区的数据；</w:t>
            </w:r>
          </w:p>
          <w:p w14:paraId="05F0E05B">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9、程序对系统盘采用只读模式和分区放行模式，可防止对系统盘进行误操作， 但可以在分区中写入文件。</w:t>
            </w:r>
          </w:p>
        </w:tc>
      </w:tr>
    </w:tbl>
    <w:p w14:paraId="77312718">
      <w:pPr>
        <w:pStyle w:val="12"/>
        <w:keepNext w:val="0"/>
        <w:keepLines w:val="0"/>
        <w:pageBreakBefore w:val="0"/>
        <w:widowControl/>
        <w:numPr>
          <w:ilvl w:val="0"/>
          <w:numId w:val="2"/>
        </w:numPr>
        <w:kinsoku/>
        <w:wordWrap/>
        <w:overflowPunct/>
        <w:topLinePunct w:val="0"/>
        <w:autoSpaceDE/>
        <w:autoSpaceDN/>
        <w:bidi w:val="0"/>
        <w:adjustRightInd w:val="0"/>
        <w:snapToGrid w:val="0"/>
        <w:spacing w:after="0" w:line="440" w:lineRule="exact"/>
        <w:ind w:left="1009" w:hanging="442" w:firstLineChars="0"/>
        <w:contextualSpacing/>
        <w:textAlignment w:val="auto"/>
        <w:rPr>
          <w:rFonts w:hint="eastAsia" w:ascii="宋体" w:hAnsi="宋体" w:eastAsia="宋体" w:cs="宋体"/>
          <w:bCs/>
          <w:sz w:val="28"/>
          <w:szCs w:val="28"/>
        </w:rPr>
      </w:pPr>
      <w:r>
        <w:rPr>
          <w:rFonts w:hint="eastAsia" w:ascii="宋体" w:hAnsi="宋体" w:eastAsia="宋体" w:cs="宋体"/>
          <w:bCs/>
          <w:sz w:val="28"/>
          <w:szCs w:val="28"/>
        </w:rPr>
        <w:t>赛事管理和裁判技术平台</w:t>
      </w:r>
    </w:p>
    <w:p w14:paraId="33B5B742">
      <w:pPr>
        <w:keepNext w:val="0"/>
        <w:keepLines w:val="0"/>
        <w:pageBreakBefore w:val="0"/>
        <w:widowControl/>
        <w:kinsoku/>
        <w:wordWrap/>
        <w:overflowPunct/>
        <w:topLinePunct w:val="0"/>
        <w:autoSpaceDE/>
        <w:autoSpaceDN/>
        <w:bidi w:val="0"/>
        <w:adjustRightInd w:val="0"/>
        <w:snapToGrid w:val="0"/>
        <w:spacing w:line="440" w:lineRule="exact"/>
        <w:textAlignment w:val="auto"/>
        <w:rPr>
          <w:rFonts w:hint="eastAsia" w:ascii="宋体" w:hAnsi="宋体" w:eastAsia="宋体" w:cs="宋体"/>
          <w:bCs/>
          <w:sz w:val="28"/>
          <w:szCs w:val="28"/>
        </w:rPr>
      </w:pPr>
    </w:p>
    <w:tbl>
      <w:tblPr>
        <w:tblStyle w:val="9"/>
        <w:tblW w:w="53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558"/>
        <w:gridCol w:w="6629"/>
      </w:tblGrid>
      <w:tr w14:paraId="3377A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71" w:type="pct"/>
            <w:vAlign w:val="center"/>
          </w:tcPr>
          <w:p w14:paraId="5D443C69">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序号</w:t>
            </w:r>
          </w:p>
        </w:tc>
        <w:tc>
          <w:tcPr>
            <w:tcW w:w="862" w:type="pct"/>
            <w:vAlign w:val="center"/>
          </w:tcPr>
          <w:p w14:paraId="1DCE7564">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平台名称</w:t>
            </w:r>
          </w:p>
        </w:tc>
        <w:tc>
          <w:tcPr>
            <w:tcW w:w="3667" w:type="pct"/>
            <w:vAlign w:val="center"/>
          </w:tcPr>
          <w:p w14:paraId="147A50BA">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规格说明</w:t>
            </w:r>
          </w:p>
        </w:tc>
      </w:tr>
      <w:tr w14:paraId="46F6E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71" w:type="pct"/>
            <w:vAlign w:val="center"/>
          </w:tcPr>
          <w:p w14:paraId="10AB2A0B">
            <w:pPr>
              <w:keepNext w:val="0"/>
              <w:keepLines w:val="0"/>
              <w:pageBreakBefore w:val="0"/>
              <w:widowControl/>
              <w:kinsoku/>
              <w:wordWrap/>
              <w:overflowPunct/>
              <w:topLinePunct w:val="0"/>
              <w:autoSpaceDE/>
              <w:autoSpaceDN/>
              <w:bidi w:val="0"/>
              <w:adjustRightInd w:val="0"/>
              <w:snapToGrid w:val="0"/>
              <w:spacing w:before="121" w:line="440" w:lineRule="exact"/>
              <w:ind w:left="124"/>
              <w:jc w:val="center"/>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1</w:t>
            </w:r>
          </w:p>
        </w:tc>
        <w:tc>
          <w:tcPr>
            <w:tcW w:w="862" w:type="pct"/>
            <w:vAlign w:val="center"/>
          </w:tcPr>
          <w:p w14:paraId="11789601">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技能考核平台</w:t>
            </w:r>
          </w:p>
        </w:tc>
        <w:tc>
          <w:tcPr>
            <w:tcW w:w="3667" w:type="pct"/>
            <w:vAlign w:val="center"/>
          </w:tcPr>
          <w:p w14:paraId="5A1F6C12">
            <w:pPr>
              <w:pStyle w:val="12"/>
              <w:keepNext w:val="0"/>
              <w:keepLines w:val="0"/>
              <w:pageBreakBefore w:val="0"/>
              <w:widowControl/>
              <w:kinsoku/>
              <w:wordWrap/>
              <w:overflowPunct/>
              <w:topLinePunct w:val="0"/>
              <w:autoSpaceDE/>
              <w:autoSpaceDN/>
              <w:bidi w:val="0"/>
              <w:adjustRightInd w:val="0"/>
              <w:snapToGrid w:val="0"/>
              <w:spacing w:after="0" w:line="440" w:lineRule="exact"/>
              <w:ind w:left="125" w:firstLine="0" w:firstLineChars="0"/>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1、支持参赛选手的理论考核，能够按照理论试题的标准答案进行判分和同分；</w:t>
            </w:r>
          </w:p>
          <w:p w14:paraId="0281C1DD">
            <w:pPr>
              <w:pStyle w:val="12"/>
              <w:keepNext w:val="0"/>
              <w:keepLines w:val="0"/>
              <w:pageBreakBefore w:val="0"/>
              <w:widowControl/>
              <w:kinsoku/>
              <w:wordWrap/>
              <w:overflowPunct/>
              <w:topLinePunct w:val="0"/>
              <w:autoSpaceDE/>
              <w:autoSpaceDN/>
              <w:bidi w:val="0"/>
              <w:adjustRightInd w:val="0"/>
              <w:snapToGrid w:val="0"/>
              <w:spacing w:after="0" w:line="440" w:lineRule="exact"/>
              <w:ind w:left="125" w:firstLine="0" w:firstLineChars="0"/>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2、支持参赛选手提交工作成果，能够按照标准答案进行判分和统分。</w:t>
            </w:r>
          </w:p>
        </w:tc>
      </w:tr>
      <w:tr w14:paraId="6449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71" w:type="pct"/>
            <w:vAlign w:val="center"/>
          </w:tcPr>
          <w:p w14:paraId="0A1B818D">
            <w:pPr>
              <w:keepNext w:val="0"/>
              <w:keepLines w:val="0"/>
              <w:pageBreakBefore w:val="0"/>
              <w:widowControl/>
              <w:kinsoku/>
              <w:wordWrap/>
              <w:overflowPunct/>
              <w:topLinePunct w:val="0"/>
              <w:autoSpaceDE/>
              <w:autoSpaceDN/>
              <w:bidi w:val="0"/>
              <w:adjustRightInd w:val="0"/>
              <w:snapToGrid w:val="0"/>
              <w:spacing w:before="121" w:line="440" w:lineRule="exact"/>
              <w:ind w:left="124"/>
              <w:jc w:val="center"/>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2</w:t>
            </w:r>
          </w:p>
        </w:tc>
        <w:tc>
          <w:tcPr>
            <w:tcW w:w="862" w:type="pct"/>
            <w:vAlign w:val="center"/>
          </w:tcPr>
          <w:p w14:paraId="5C45C2DB">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智能电子产品检测维修赛训中心管理平台软件</w:t>
            </w:r>
          </w:p>
        </w:tc>
        <w:tc>
          <w:tcPr>
            <w:tcW w:w="3667" w:type="pct"/>
            <w:vAlign w:val="center"/>
          </w:tcPr>
          <w:p w14:paraId="7B513415">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1、支持台式机系列、笔记本系列、显示器系列、工控机系列功能板的设置及管理；</w:t>
            </w:r>
          </w:p>
          <w:p w14:paraId="7547F260">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2、支持练习、考核两种模式，方便开展日常教学及考核；</w:t>
            </w:r>
          </w:p>
          <w:p w14:paraId="642A4AAD">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3、支持练习题库管理、考核题库管理；</w:t>
            </w:r>
          </w:p>
          <w:p w14:paraId="457FCE27">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4、支持方便的进行故障设定，只需勾选上对应的区域编号就可设定；</w:t>
            </w:r>
          </w:p>
          <w:p w14:paraId="531478F2">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5、支持练习模式、考核模式阶段控制，可以实现远程控制智能检测软件；</w:t>
            </w:r>
          </w:p>
          <w:p w14:paraId="5370C064">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6、支持练习、考核过程监控，可实时监控学生的操作进度以及成绩，并且学生成绩可实名对应；</w:t>
            </w:r>
          </w:p>
          <w:p w14:paraId="2791AC6C">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7、支持料件管理，实现对料件申领的操作；</w:t>
            </w:r>
          </w:p>
          <w:p w14:paraId="1A907AE3">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8、支持文件管理，实现对任务工单的发布和上传结果查询、导出；</w:t>
            </w:r>
          </w:p>
          <w:p w14:paraId="33C70D2A">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9、支持维修且提交后，系统自动评分；</w:t>
            </w:r>
          </w:p>
          <w:p w14:paraId="7650CEA9">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10、支持成绩以文件形式导出；</w:t>
            </w:r>
          </w:p>
          <w:p w14:paraId="15151166">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11、支持竞赛、文件、成绩等过程管理数据图形化展示。</w:t>
            </w:r>
          </w:p>
        </w:tc>
      </w:tr>
      <w:tr w14:paraId="1665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471" w:type="pct"/>
            <w:vAlign w:val="center"/>
          </w:tcPr>
          <w:p w14:paraId="66779051">
            <w:pPr>
              <w:keepNext w:val="0"/>
              <w:keepLines w:val="0"/>
              <w:pageBreakBefore w:val="0"/>
              <w:widowControl/>
              <w:kinsoku/>
              <w:wordWrap/>
              <w:overflowPunct/>
              <w:topLinePunct w:val="0"/>
              <w:autoSpaceDE/>
              <w:autoSpaceDN/>
              <w:bidi w:val="0"/>
              <w:adjustRightInd w:val="0"/>
              <w:snapToGrid w:val="0"/>
              <w:spacing w:before="121" w:line="440" w:lineRule="exact"/>
              <w:ind w:left="124"/>
              <w:jc w:val="center"/>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3</w:t>
            </w:r>
          </w:p>
        </w:tc>
        <w:tc>
          <w:tcPr>
            <w:tcW w:w="862" w:type="pct"/>
            <w:vAlign w:val="center"/>
          </w:tcPr>
          <w:p w14:paraId="13E86219">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智能电子产品检测维修赛训综合测试软件</w:t>
            </w:r>
          </w:p>
        </w:tc>
        <w:tc>
          <w:tcPr>
            <w:tcW w:w="3667" w:type="pct"/>
            <w:vAlign w:val="center"/>
          </w:tcPr>
          <w:p w14:paraId="5508176C">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1、支持台式机系列、笔记本系列、显示器系列、工控机系列功能板的故障智能检测功能；</w:t>
            </w:r>
          </w:p>
          <w:p w14:paraId="327768DF">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2、支持功能板维修前故障智能确认、维修中故障智能提示及维修后结果确认；</w:t>
            </w:r>
          </w:p>
          <w:p w14:paraId="29FEF64D">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3、支持平时练习和考核两种模式功能；</w:t>
            </w:r>
          </w:p>
          <w:p w14:paraId="353B9FCC">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4、支持在练习模式下，对功能板进行智能准确的检测，定位故障点，提供故障范围提示，引导学生逐步维修，并能提供维修结果；</w:t>
            </w:r>
          </w:p>
          <w:p w14:paraId="4B6E14F3">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5、支持在考核模式下，对功能板故障进行定位并与服务器比对，若一致方可继续考核，考后提交考核报告并实现自动评分；</w:t>
            </w:r>
          </w:p>
          <w:p w14:paraId="59267ED3">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6、支持智能提示错误操作，如插入了错误的功能板、功能板未置于开机状态、串口未连接、服务器未连接等；</w:t>
            </w:r>
          </w:p>
          <w:p w14:paraId="34DC489C">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7、支持查看维修板卡所对应的电路图；</w:t>
            </w:r>
          </w:p>
          <w:p w14:paraId="01DA47FE">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8、支持电子流程的料件申领；</w:t>
            </w:r>
          </w:p>
          <w:p w14:paraId="2E087B0B">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9、支持工单等类型文件下载与上传。</w:t>
            </w:r>
          </w:p>
        </w:tc>
      </w:tr>
      <w:tr w14:paraId="1AD9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471" w:type="pct"/>
            <w:vAlign w:val="center"/>
          </w:tcPr>
          <w:p w14:paraId="42D9AF62">
            <w:pPr>
              <w:keepNext w:val="0"/>
              <w:keepLines w:val="0"/>
              <w:pageBreakBefore w:val="0"/>
              <w:widowControl/>
              <w:kinsoku/>
              <w:wordWrap/>
              <w:overflowPunct/>
              <w:topLinePunct w:val="0"/>
              <w:autoSpaceDE/>
              <w:autoSpaceDN/>
              <w:bidi w:val="0"/>
              <w:adjustRightInd w:val="0"/>
              <w:snapToGrid w:val="0"/>
              <w:spacing w:before="121" w:line="440" w:lineRule="exact"/>
              <w:ind w:left="124"/>
              <w:jc w:val="center"/>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4</w:t>
            </w:r>
          </w:p>
        </w:tc>
        <w:tc>
          <w:tcPr>
            <w:tcW w:w="862" w:type="pct"/>
            <w:vAlign w:val="center"/>
          </w:tcPr>
          <w:p w14:paraId="342A1852">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智能电子产品检测维修赛训综合平台</w:t>
            </w:r>
          </w:p>
        </w:tc>
        <w:tc>
          <w:tcPr>
            <w:tcW w:w="3667" w:type="pct"/>
            <w:vAlign w:val="center"/>
          </w:tcPr>
          <w:p w14:paraId="4DF3D3D6">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1、采用全新工业设计，1级工业仪表测量精度水平；</w:t>
            </w:r>
          </w:p>
          <w:p w14:paraId="1E128E9D">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2、采用CNC加工，阳极氧化工艺；</w:t>
            </w:r>
          </w:p>
          <w:p w14:paraId="48F5D6A8">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3、具备无风扇静音设计；</w:t>
            </w:r>
          </w:p>
          <w:p w14:paraId="1A38B8A9">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4、具备功能板检测接口，支持120个检测点；</w:t>
            </w:r>
          </w:p>
          <w:p w14:paraId="0D10E5C4">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5、具备电平、电压、频率三种信号检测的功能；</w:t>
            </w:r>
          </w:p>
          <w:p w14:paraId="5C4B56C9">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6、具备通讯COM口，可与计算机通信；</w:t>
            </w:r>
          </w:p>
          <w:p w14:paraId="514D3AE7">
            <w:pPr>
              <w:keepNext w:val="0"/>
              <w:keepLines w:val="0"/>
              <w:pageBreakBefore w:val="0"/>
              <w:widowControl/>
              <w:kinsoku/>
              <w:wordWrap/>
              <w:overflowPunct/>
              <w:topLinePunct w:val="0"/>
              <w:autoSpaceDE/>
              <w:autoSpaceDN/>
              <w:bidi w:val="0"/>
              <w:adjustRightInd w:val="0"/>
              <w:snapToGrid w:val="0"/>
              <w:spacing w:after="0" w:line="440" w:lineRule="exact"/>
              <w:ind w:left="125"/>
              <w:textAlignment w:val="auto"/>
              <w:rPr>
                <w:rFonts w:hint="eastAsia" w:ascii="宋体" w:hAnsi="宋体" w:eastAsia="宋体" w:cs="宋体"/>
                <w:bCs/>
                <w:spacing w:val="5"/>
                <w:sz w:val="28"/>
                <w:szCs w:val="28"/>
              </w:rPr>
            </w:pPr>
            <w:r>
              <w:rPr>
                <w:rFonts w:hint="eastAsia" w:ascii="宋体" w:hAnsi="宋体" w:eastAsia="宋体" w:cs="宋体"/>
                <w:bCs/>
                <w:spacing w:val="5"/>
                <w:sz w:val="28"/>
                <w:szCs w:val="28"/>
              </w:rPr>
              <w:t>7、具备对台式机系列、笔记本系列、显示器系列、工控机系列功能板的故障智能检测功能。</w:t>
            </w:r>
          </w:p>
        </w:tc>
      </w:tr>
    </w:tbl>
    <w:p w14:paraId="39131485">
      <w:pPr>
        <w:pStyle w:val="12"/>
        <w:keepNext w:val="0"/>
        <w:keepLines w:val="0"/>
        <w:pageBreakBefore w:val="0"/>
        <w:widowControl/>
        <w:kinsoku/>
        <w:wordWrap/>
        <w:overflowPunct/>
        <w:topLinePunct w:val="0"/>
        <w:autoSpaceDE/>
        <w:autoSpaceDN/>
        <w:bidi w:val="0"/>
        <w:adjustRightInd w:val="0"/>
        <w:snapToGrid w:val="0"/>
        <w:spacing w:after="0" w:line="440" w:lineRule="exact"/>
        <w:ind w:left="1149" w:firstLine="0" w:firstLineChars="0"/>
        <w:textAlignment w:val="auto"/>
        <w:rPr>
          <w:rFonts w:hint="eastAsia" w:ascii="宋体" w:hAnsi="宋体" w:eastAsia="宋体" w:cs="宋体"/>
          <w:bCs/>
          <w:sz w:val="28"/>
          <w:szCs w:val="28"/>
        </w:rPr>
      </w:pPr>
    </w:p>
    <w:p w14:paraId="021E01A5">
      <w:pPr>
        <w:pStyle w:val="12"/>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cs="宋体"/>
          <w:b/>
          <w:sz w:val="28"/>
          <w:szCs w:val="28"/>
        </w:rPr>
      </w:pPr>
      <w:r>
        <w:rPr>
          <w:rFonts w:hint="eastAsia" w:ascii="宋体" w:hAnsi="宋体" w:eastAsia="宋体" w:cs="宋体"/>
          <w:b/>
          <w:sz w:val="28"/>
          <w:szCs w:val="28"/>
        </w:rPr>
        <w:t>竞赛内容</w:t>
      </w:r>
    </w:p>
    <w:p w14:paraId="1457F33E">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contextualSpacing/>
        <w:textAlignment w:val="auto"/>
        <w:rPr>
          <w:rFonts w:hint="eastAsia" w:ascii="宋体" w:hAnsi="宋体" w:eastAsia="宋体" w:cs="宋体"/>
          <w:bCs/>
          <w:sz w:val="28"/>
          <w:szCs w:val="28"/>
        </w:rPr>
      </w:pPr>
      <w:r>
        <w:rPr>
          <w:rFonts w:hint="eastAsia" w:ascii="宋体" w:hAnsi="宋体" w:eastAsia="宋体" w:cs="宋体"/>
          <w:bCs/>
          <w:sz w:val="28"/>
          <w:szCs w:val="28"/>
        </w:rPr>
        <w:t>1．竞赛考核知识和技能：</w:t>
      </w:r>
    </w:p>
    <w:p w14:paraId="0D1B411B">
      <w:pPr>
        <w:pStyle w:val="12"/>
        <w:keepNext w:val="0"/>
        <w:keepLines w:val="0"/>
        <w:pageBreakBefore w:val="0"/>
        <w:widowControl/>
        <w:numPr>
          <w:ilvl w:val="3"/>
          <w:numId w:val="3"/>
        </w:numPr>
        <w:kinsoku/>
        <w:wordWrap/>
        <w:overflowPunct/>
        <w:topLinePunct w:val="0"/>
        <w:autoSpaceDE/>
        <w:autoSpaceDN/>
        <w:bidi w:val="0"/>
        <w:adjustRightInd w:val="0"/>
        <w:snapToGrid w:val="0"/>
        <w:spacing w:after="0" w:line="440" w:lineRule="exact"/>
        <w:ind w:left="420" w:firstLine="0" w:firstLineChars="0"/>
        <w:contextualSpacing/>
        <w:textAlignment w:val="auto"/>
        <w:rPr>
          <w:rFonts w:hint="eastAsia" w:ascii="宋体" w:hAnsi="宋体" w:eastAsia="宋体" w:cs="宋体"/>
          <w:bCs/>
          <w:sz w:val="28"/>
          <w:szCs w:val="28"/>
        </w:rPr>
      </w:pPr>
      <w:r>
        <w:rPr>
          <w:rFonts w:hint="eastAsia" w:ascii="宋体" w:hAnsi="宋体" w:eastAsia="宋体" w:cs="宋体"/>
          <w:bCs/>
          <w:sz w:val="28"/>
          <w:szCs w:val="28"/>
        </w:rPr>
        <w:t>计算机系统的基本原理，计算机软硬件基础知识，计算机多媒体、网络和安全相关的基础知识；</w:t>
      </w:r>
    </w:p>
    <w:p w14:paraId="699D6965">
      <w:pPr>
        <w:pStyle w:val="12"/>
        <w:keepNext w:val="0"/>
        <w:keepLines w:val="0"/>
        <w:pageBreakBefore w:val="0"/>
        <w:widowControl/>
        <w:numPr>
          <w:ilvl w:val="3"/>
          <w:numId w:val="3"/>
        </w:numPr>
        <w:kinsoku/>
        <w:wordWrap/>
        <w:overflowPunct/>
        <w:topLinePunct w:val="0"/>
        <w:autoSpaceDE/>
        <w:autoSpaceDN/>
        <w:bidi w:val="0"/>
        <w:adjustRightInd w:val="0"/>
        <w:snapToGrid w:val="0"/>
        <w:spacing w:after="0" w:line="440" w:lineRule="exact"/>
        <w:ind w:left="420" w:firstLine="0" w:firstLineChars="0"/>
        <w:contextualSpacing/>
        <w:textAlignment w:val="auto"/>
        <w:rPr>
          <w:rFonts w:hint="eastAsia" w:ascii="宋体" w:hAnsi="宋体" w:eastAsia="宋体" w:cs="宋体"/>
          <w:bCs/>
          <w:sz w:val="28"/>
          <w:szCs w:val="28"/>
        </w:rPr>
      </w:pPr>
      <w:r>
        <w:rPr>
          <w:rFonts w:hint="eastAsia" w:ascii="宋体" w:hAnsi="宋体" w:eastAsia="宋体" w:cs="宋体"/>
          <w:bCs/>
          <w:sz w:val="28"/>
          <w:szCs w:val="28"/>
        </w:rPr>
        <w:t>计算机系统的部件组成认知、选择、组装、配置、调试与检验技能；</w:t>
      </w:r>
    </w:p>
    <w:p w14:paraId="191D4A0F">
      <w:pPr>
        <w:pStyle w:val="12"/>
        <w:keepNext w:val="0"/>
        <w:keepLines w:val="0"/>
        <w:pageBreakBefore w:val="0"/>
        <w:widowControl/>
        <w:numPr>
          <w:ilvl w:val="3"/>
          <w:numId w:val="3"/>
        </w:numPr>
        <w:kinsoku/>
        <w:wordWrap/>
        <w:overflowPunct/>
        <w:topLinePunct w:val="0"/>
        <w:autoSpaceDE/>
        <w:autoSpaceDN/>
        <w:bidi w:val="0"/>
        <w:adjustRightInd w:val="0"/>
        <w:snapToGrid w:val="0"/>
        <w:spacing w:after="0" w:line="440" w:lineRule="exact"/>
        <w:ind w:left="420" w:firstLine="0" w:firstLineChars="0"/>
        <w:contextualSpacing/>
        <w:textAlignment w:val="auto"/>
        <w:rPr>
          <w:rFonts w:hint="eastAsia" w:ascii="宋体" w:hAnsi="宋体" w:eastAsia="宋体" w:cs="宋体"/>
          <w:bCs/>
          <w:sz w:val="28"/>
          <w:szCs w:val="28"/>
        </w:rPr>
      </w:pPr>
      <w:r>
        <w:rPr>
          <w:rFonts w:hint="eastAsia" w:ascii="宋体" w:hAnsi="宋体" w:eastAsia="宋体" w:cs="宋体"/>
          <w:bCs/>
          <w:sz w:val="28"/>
          <w:szCs w:val="28"/>
        </w:rPr>
        <w:t>计算机系统的日常维护与故障分析、判断和处理技能；计算机系统（包括主板、配件以及周边设备）的板卡级与芯片级维修；</w:t>
      </w:r>
    </w:p>
    <w:p w14:paraId="13AEE483">
      <w:pPr>
        <w:pStyle w:val="12"/>
        <w:keepNext w:val="0"/>
        <w:keepLines w:val="0"/>
        <w:pageBreakBefore w:val="0"/>
        <w:widowControl/>
        <w:numPr>
          <w:ilvl w:val="3"/>
          <w:numId w:val="3"/>
        </w:numPr>
        <w:kinsoku/>
        <w:wordWrap/>
        <w:overflowPunct/>
        <w:topLinePunct w:val="0"/>
        <w:autoSpaceDE/>
        <w:autoSpaceDN/>
        <w:bidi w:val="0"/>
        <w:adjustRightInd w:val="0"/>
        <w:snapToGrid w:val="0"/>
        <w:spacing w:after="0" w:line="440" w:lineRule="exact"/>
        <w:ind w:left="420" w:firstLine="0" w:firstLineChars="0"/>
        <w:contextualSpacing/>
        <w:textAlignment w:val="auto"/>
        <w:rPr>
          <w:rFonts w:hint="eastAsia" w:ascii="宋体" w:hAnsi="宋体" w:eastAsia="宋体" w:cs="宋体"/>
          <w:bCs/>
          <w:sz w:val="28"/>
          <w:szCs w:val="28"/>
        </w:rPr>
      </w:pPr>
      <w:r>
        <w:rPr>
          <w:rFonts w:hint="eastAsia" w:ascii="宋体" w:hAnsi="宋体" w:eastAsia="宋体" w:cs="宋体"/>
          <w:bCs/>
          <w:sz w:val="28"/>
          <w:szCs w:val="28"/>
        </w:rPr>
        <w:t>计算机系统的存储介质数据备份与数据恢复技能。</w:t>
      </w:r>
    </w:p>
    <w:p w14:paraId="37813EDF">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contextualSpacing/>
        <w:textAlignment w:val="auto"/>
        <w:rPr>
          <w:rFonts w:hint="eastAsia" w:ascii="宋体" w:hAnsi="宋体" w:eastAsia="宋体" w:cs="宋体"/>
          <w:bCs/>
          <w:sz w:val="28"/>
          <w:szCs w:val="28"/>
        </w:rPr>
      </w:pPr>
      <w:r>
        <w:rPr>
          <w:rFonts w:hint="eastAsia" w:ascii="宋体" w:hAnsi="宋体" w:eastAsia="宋体" w:cs="宋体"/>
          <w:bCs/>
          <w:sz w:val="28"/>
          <w:szCs w:val="28"/>
        </w:rPr>
        <w:t>2.本次竞赛包括以下考核模块：</w:t>
      </w:r>
    </w:p>
    <w:p w14:paraId="0B4EED89">
      <w:pPr>
        <w:keepNext w:val="0"/>
        <w:keepLines w:val="0"/>
        <w:pageBreakBefore w:val="0"/>
        <w:widowControl/>
        <w:kinsoku/>
        <w:wordWrap/>
        <w:overflowPunct/>
        <w:topLinePunct w:val="0"/>
        <w:autoSpaceDE/>
        <w:autoSpaceDN/>
        <w:bidi w:val="0"/>
        <w:adjustRightInd w:val="0"/>
        <w:snapToGrid w:val="0"/>
        <w:spacing w:before="240" w:after="240" w:line="440" w:lineRule="exact"/>
        <w:ind w:firstLine="560" w:firstLineChars="200"/>
        <w:contextualSpacing/>
        <w:textAlignment w:val="auto"/>
        <w:rPr>
          <w:rFonts w:hint="eastAsia" w:ascii="宋体" w:hAnsi="宋体" w:eastAsia="宋体" w:cs="宋体"/>
          <w:bCs/>
          <w:sz w:val="28"/>
          <w:szCs w:val="28"/>
        </w:rPr>
      </w:pPr>
      <w:r>
        <w:rPr>
          <w:rFonts w:hint="eastAsia" w:ascii="宋体" w:hAnsi="宋体" w:eastAsia="宋体" w:cs="宋体"/>
          <w:bCs/>
          <w:sz w:val="28"/>
          <w:szCs w:val="28"/>
        </w:rPr>
        <w:t>竞赛总时长为3个小时，各竞赛阶段安排如下：</w:t>
      </w:r>
    </w:p>
    <w:tbl>
      <w:tblPr>
        <w:tblStyle w:val="10"/>
        <w:tblW w:w="86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8"/>
        <w:gridCol w:w="2918"/>
        <w:gridCol w:w="1186"/>
        <w:gridCol w:w="1276"/>
        <w:gridCol w:w="1513"/>
      </w:tblGrid>
      <w:tr w14:paraId="099E6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8" w:type="dxa"/>
            <w:vAlign w:val="center"/>
          </w:tcPr>
          <w:p w14:paraId="172FB130">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考核模块名称</w:t>
            </w:r>
          </w:p>
        </w:tc>
        <w:tc>
          <w:tcPr>
            <w:tcW w:w="2918" w:type="dxa"/>
            <w:vAlign w:val="center"/>
          </w:tcPr>
          <w:p w14:paraId="1BAD2D9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考核内容</w:t>
            </w:r>
          </w:p>
        </w:tc>
        <w:tc>
          <w:tcPr>
            <w:tcW w:w="1186" w:type="dxa"/>
            <w:vAlign w:val="center"/>
          </w:tcPr>
          <w:p w14:paraId="5DB9F72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考核形式</w:t>
            </w:r>
          </w:p>
        </w:tc>
        <w:tc>
          <w:tcPr>
            <w:tcW w:w="1276" w:type="dxa"/>
            <w:vAlign w:val="center"/>
          </w:tcPr>
          <w:p w14:paraId="424C81F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考核时长</w:t>
            </w:r>
          </w:p>
        </w:tc>
        <w:tc>
          <w:tcPr>
            <w:tcW w:w="1513" w:type="dxa"/>
          </w:tcPr>
          <w:p w14:paraId="0C21D96A">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相关性权重</w:t>
            </w:r>
          </w:p>
        </w:tc>
      </w:tr>
      <w:tr w14:paraId="245E9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8" w:type="dxa"/>
            <w:vAlign w:val="center"/>
          </w:tcPr>
          <w:p w14:paraId="1D3BDA11">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A. 理论考核</w:t>
            </w:r>
          </w:p>
        </w:tc>
        <w:tc>
          <w:tcPr>
            <w:tcW w:w="2918" w:type="dxa"/>
            <w:vAlign w:val="center"/>
          </w:tcPr>
          <w:p w14:paraId="1C297F24">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按照职业标准高级工的相关理论知识进行理论知识考核</w:t>
            </w:r>
          </w:p>
        </w:tc>
        <w:tc>
          <w:tcPr>
            <w:tcW w:w="1186" w:type="dxa"/>
            <w:vAlign w:val="center"/>
          </w:tcPr>
          <w:p w14:paraId="7EFF4E0F">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机考答题</w:t>
            </w:r>
          </w:p>
        </w:tc>
        <w:tc>
          <w:tcPr>
            <w:tcW w:w="1276" w:type="dxa"/>
            <w:vAlign w:val="center"/>
          </w:tcPr>
          <w:p w14:paraId="2362885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30分钟</w:t>
            </w:r>
          </w:p>
        </w:tc>
        <w:tc>
          <w:tcPr>
            <w:tcW w:w="1513" w:type="dxa"/>
            <w:vAlign w:val="center"/>
          </w:tcPr>
          <w:p w14:paraId="16145070">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20%</w:t>
            </w:r>
          </w:p>
        </w:tc>
      </w:tr>
      <w:tr w14:paraId="425E3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8" w:type="dxa"/>
            <w:vAlign w:val="center"/>
          </w:tcPr>
          <w:p w14:paraId="02124866">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B. 计算机系统板级维修及芯片级维修</w:t>
            </w:r>
          </w:p>
        </w:tc>
        <w:tc>
          <w:tcPr>
            <w:tcW w:w="2918" w:type="dxa"/>
            <w:vAlign w:val="center"/>
          </w:tcPr>
          <w:p w14:paraId="12701ACB">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对指定组件功能模块进行检检测及维修，恢复产品原有功能</w:t>
            </w:r>
          </w:p>
        </w:tc>
        <w:tc>
          <w:tcPr>
            <w:tcW w:w="1186" w:type="dxa"/>
            <w:vAlign w:val="center"/>
          </w:tcPr>
          <w:p w14:paraId="71C097E4">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实操</w:t>
            </w:r>
          </w:p>
        </w:tc>
        <w:tc>
          <w:tcPr>
            <w:tcW w:w="1276" w:type="dxa"/>
            <w:vMerge w:val="restart"/>
            <w:vAlign w:val="center"/>
          </w:tcPr>
          <w:p w14:paraId="048FF4E0">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150分钟</w:t>
            </w:r>
          </w:p>
        </w:tc>
        <w:tc>
          <w:tcPr>
            <w:tcW w:w="1513" w:type="dxa"/>
            <w:vAlign w:val="center"/>
          </w:tcPr>
          <w:p w14:paraId="21B1F05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35%</w:t>
            </w:r>
          </w:p>
        </w:tc>
      </w:tr>
      <w:tr w14:paraId="2D83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8" w:type="dxa"/>
            <w:vAlign w:val="center"/>
          </w:tcPr>
          <w:p w14:paraId="3394AF1B">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C. 存储介质数据备份与恢复</w:t>
            </w:r>
          </w:p>
        </w:tc>
        <w:tc>
          <w:tcPr>
            <w:tcW w:w="2918" w:type="dxa"/>
            <w:vAlign w:val="center"/>
          </w:tcPr>
          <w:p w14:paraId="6A0E6C22">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完成指定存储介质的数据恢复工作，按照要求将指定存储介质内部的指定文件名资料文件，提取其中的内容交付</w:t>
            </w:r>
          </w:p>
        </w:tc>
        <w:tc>
          <w:tcPr>
            <w:tcW w:w="1186" w:type="dxa"/>
            <w:vAlign w:val="center"/>
          </w:tcPr>
          <w:p w14:paraId="46573F93">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实操</w:t>
            </w:r>
          </w:p>
        </w:tc>
        <w:tc>
          <w:tcPr>
            <w:tcW w:w="1276" w:type="dxa"/>
            <w:vMerge w:val="continue"/>
            <w:vAlign w:val="center"/>
          </w:tcPr>
          <w:p w14:paraId="1C2EC17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p>
        </w:tc>
        <w:tc>
          <w:tcPr>
            <w:tcW w:w="1513" w:type="dxa"/>
            <w:vAlign w:val="center"/>
          </w:tcPr>
          <w:p w14:paraId="48C0F4FB">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40%</w:t>
            </w:r>
          </w:p>
        </w:tc>
      </w:tr>
      <w:tr w14:paraId="4172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8" w:type="dxa"/>
            <w:vAlign w:val="center"/>
          </w:tcPr>
          <w:p w14:paraId="1979E950">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D. 职业素养</w:t>
            </w:r>
          </w:p>
        </w:tc>
        <w:tc>
          <w:tcPr>
            <w:tcW w:w="2918" w:type="dxa"/>
            <w:vAlign w:val="center"/>
          </w:tcPr>
          <w:p w14:paraId="74F856A9">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Cs/>
                <w:sz w:val="28"/>
                <w:szCs w:val="28"/>
              </w:rPr>
            </w:pPr>
            <w:r>
              <w:rPr>
                <w:rFonts w:hint="eastAsia" w:ascii="宋体" w:hAnsi="宋体" w:eastAsia="宋体" w:cs="宋体"/>
                <w:bCs/>
                <w:sz w:val="28"/>
                <w:szCs w:val="28"/>
              </w:rPr>
              <w:t>对竞赛过程中选手的职业技能行为习惯进行综合测评</w:t>
            </w:r>
          </w:p>
        </w:tc>
        <w:tc>
          <w:tcPr>
            <w:tcW w:w="1186" w:type="dxa"/>
            <w:vAlign w:val="center"/>
          </w:tcPr>
          <w:p w14:paraId="76217ED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实操</w:t>
            </w:r>
          </w:p>
        </w:tc>
        <w:tc>
          <w:tcPr>
            <w:tcW w:w="1276" w:type="dxa"/>
            <w:vMerge w:val="continue"/>
            <w:vAlign w:val="center"/>
          </w:tcPr>
          <w:p w14:paraId="7E0CCCA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p>
        </w:tc>
        <w:tc>
          <w:tcPr>
            <w:tcW w:w="1513" w:type="dxa"/>
            <w:vAlign w:val="center"/>
          </w:tcPr>
          <w:p w14:paraId="4C144A4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5%</w:t>
            </w:r>
          </w:p>
        </w:tc>
      </w:tr>
    </w:tbl>
    <w:p w14:paraId="5431C8EB">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3.成绩评定</w:t>
      </w:r>
    </w:p>
    <w:p w14:paraId="5F0B8FDB">
      <w:pPr>
        <w:pStyle w:val="12"/>
        <w:keepNext w:val="0"/>
        <w:keepLines w:val="0"/>
        <w:pageBreakBefore w:val="0"/>
        <w:widowControl/>
        <w:numPr>
          <w:ilvl w:val="0"/>
          <w:numId w:val="4"/>
        </w:numPr>
        <w:kinsoku/>
        <w:wordWrap/>
        <w:overflowPunct/>
        <w:topLinePunct w:val="0"/>
        <w:autoSpaceDE/>
        <w:autoSpaceDN/>
        <w:bidi w:val="0"/>
        <w:adjustRightInd w:val="0"/>
        <w:snapToGrid w:val="0"/>
        <w:spacing w:after="0" w:line="440" w:lineRule="exact"/>
        <w:ind w:firstLineChars="0"/>
        <w:contextualSpacing/>
        <w:textAlignment w:val="auto"/>
        <w:rPr>
          <w:rFonts w:hint="eastAsia" w:ascii="宋体" w:hAnsi="宋体" w:eastAsia="宋体" w:cs="宋体"/>
          <w:bCs/>
          <w:sz w:val="28"/>
          <w:szCs w:val="28"/>
        </w:rPr>
      </w:pPr>
      <w:r>
        <w:rPr>
          <w:rFonts w:hint="eastAsia" w:ascii="宋体" w:hAnsi="宋体" w:eastAsia="宋体" w:cs="宋体"/>
          <w:bCs/>
          <w:sz w:val="28"/>
          <w:szCs w:val="28"/>
        </w:rPr>
        <w:t>评分方法</w:t>
      </w:r>
    </w:p>
    <w:p w14:paraId="5C9781F1">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评分包括客观性评分及主观性评分两种，评分裁判根据不同工作任务模块分工的要求，由裁判长在评分活动前进行合理分工，可根据需要分为客观性评分组和主观性评分组。</w:t>
      </w:r>
    </w:p>
    <w:p w14:paraId="5426FFC5">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客观性评分包括计算机评分法和裁判人工评分法两种方法：</w:t>
      </w:r>
    </w:p>
    <w:p w14:paraId="772F161C">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计算机评分法（客观性评分）的考核结果由裁判长与监督组直接从服务器中调取，包括理论考核成绩和工作任务当中的客观性评价成绩，并记录成绩。</w:t>
      </w:r>
    </w:p>
    <w:p w14:paraId="64701F70">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裁判人工评分法（客观性评分）由每组不少于3名裁判组成评分小组进行评分。</w:t>
      </w:r>
    </w:p>
    <w:p w14:paraId="3C7301DA">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评分方法：针对工作场景任务模块当中能够进行客观性评价的工作任务成果，将参赛队选手所提交的工作任务成果与标准答案进行对照，或者针对参赛选手所提交的工作任务成果的功能效果呈现与标准答案要求进行对照，根据评分手册的评分标准判定选手得分。</w:t>
      </w:r>
    </w:p>
    <w:p w14:paraId="231ACCD5">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主观性评分由每组不少于5名裁判组成评分小组进行评分，按照裁判长的工作任务安排对参赛队选手工作任务完成情况进行</w:t>
      </w:r>
    </w:p>
    <w:p w14:paraId="5630C98A">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主观评判，各个裁判小组的评判内容和评判标准一致。</w:t>
      </w:r>
    </w:p>
    <w:p w14:paraId="28B09BE2">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评分方法：对于参赛选手所提交的工作任务成果，由主观评分裁判组依照给定的参考答案，对选手填写的内容分别进行打分，去掉最高分和最低分后取剩余裁判的平均分作为参赛队选手本项得分。</w:t>
      </w:r>
    </w:p>
    <w:p w14:paraId="1A590465">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职业素养评分为主观评分：由现场裁判进行打分，每个工作场景任务模块由不少于5名现场裁判组成打分小组，根据选手在比赛过程当中的操作技能表现及赛后设备、工具、物料、赛位的清洁整理情况，逐个赛位进行职业素养方面情况记录，明确扣分事项及扣分原因，记录相应的扣分项，去掉最高分和最低分后取剩余裁判数量的平均分作为参赛队选手本工作场景任务模块职业素养得分。</w:t>
      </w:r>
    </w:p>
    <w:p w14:paraId="640A619E">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评分结果若出现分值相同情况，则依据工作场景任务模块、工作任务子项得分，裁判长现场裁决加赛方案的方法依次进行排名。参赛队最终得分成绩排名不并列。</w:t>
      </w:r>
    </w:p>
    <w:p w14:paraId="7D4FDCCF">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先比较工作任务模块一的得分，得分高者则排名靠前，得分低者则排名靠后；如果工作任务模块一的得分相同，再比较工作任务模块二的得分，得分高者则排名靠前，得分低者则排名靠后,如果工作任务模块二的得分相同，再比较工作任务模块三的得分，得分高者则排名靠前，得分低者则排名靠后。</w:t>
      </w:r>
    </w:p>
    <w:p w14:paraId="7BD6FF69">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如果出现工作场景任务模块得分相同，则按照工作场景任务模块一、二、三的顺序，根据评分标准当中的二级指标分类规定，按照各个任务模块子项分值从高到低顺序排序，进行分项得分比较，对应得分高者则排名靠前，得分低者则排名靠后，若前一个工作场景任务模块子项的分项得分相同，则进行下一个工作场景任务模块的分项得分比较排序，对于同一个任务模块内子项分值相同的，按照各个任务模块子项的先后顺序进行排序比较，子项出现顺序在前的首先进行排序，子项出现顺序在后的靠后进行排序；</w:t>
      </w:r>
    </w:p>
    <w:p w14:paraId="0211560F">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在以上排序方法依然相同的情况下，交由裁判长现场裁决，制定相应的加赛方案进行评判比较。</w:t>
      </w:r>
    </w:p>
    <w:p w14:paraId="0A537484">
      <w:pPr>
        <w:pStyle w:val="12"/>
        <w:keepNext w:val="0"/>
        <w:keepLines w:val="0"/>
        <w:pageBreakBefore w:val="0"/>
        <w:widowControl/>
        <w:numPr>
          <w:ilvl w:val="0"/>
          <w:numId w:val="4"/>
        </w:numPr>
        <w:kinsoku/>
        <w:wordWrap/>
        <w:overflowPunct/>
        <w:topLinePunct w:val="0"/>
        <w:autoSpaceDE/>
        <w:autoSpaceDN/>
        <w:bidi w:val="0"/>
        <w:adjustRightInd w:val="0"/>
        <w:snapToGrid w:val="0"/>
        <w:spacing w:after="0" w:line="440" w:lineRule="exact"/>
        <w:ind w:left="1009" w:hanging="442" w:firstLineChars="0"/>
        <w:contextualSpacing/>
        <w:textAlignment w:val="auto"/>
        <w:rPr>
          <w:rFonts w:hint="eastAsia" w:ascii="宋体" w:hAnsi="宋体" w:eastAsia="宋体" w:cs="宋体"/>
          <w:bCs/>
          <w:sz w:val="28"/>
          <w:szCs w:val="28"/>
        </w:rPr>
      </w:pPr>
      <w:r>
        <w:rPr>
          <w:rFonts w:hint="eastAsia" w:ascii="宋体" w:hAnsi="宋体" w:eastAsia="宋体" w:cs="宋体"/>
          <w:bCs/>
          <w:sz w:val="28"/>
          <w:szCs w:val="28"/>
        </w:rPr>
        <w:t>评分标准</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3112"/>
        <w:gridCol w:w="1424"/>
        <w:gridCol w:w="1843"/>
      </w:tblGrid>
      <w:tr w14:paraId="7786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vAlign w:val="center"/>
          </w:tcPr>
          <w:p w14:paraId="7E9A489B">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考核模块名称</w:t>
            </w:r>
          </w:p>
        </w:tc>
        <w:tc>
          <w:tcPr>
            <w:tcW w:w="3112" w:type="dxa"/>
            <w:vAlign w:val="center"/>
          </w:tcPr>
          <w:p w14:paraId="7FE04DE7">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考核内容</w:t>
            </w:r>
          </w:p>
        </w:tc>
        <w:tc>
          <w:tcPr>
            <w:tcW w:w="1424" w:type="dxa"/>
            <w:vAlign w:val="center"/>
          </w:tcPr>
          <w:p w14:paraId="5B1990D3">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相关权重</w:t>
            </w:r>
          </w:p>
        </w:tc>
        <w:tc>
          <w:tcPr>
            <w:tcW w:w="1843" w:type="dxa"/>
            <w:vAlign w:val="center"/>
          </w:tcPr>
          <w:p w14:paraId="6D873844">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Cs/>
                <w:sz w:val="28"/>
                <w:szCs w:val="28"/>
              </w:rPr>
            </w:pPr>
            <w:r>
              <w:rPr>
                <w:rFonts w:hint="eastAsia" w:ascii="宋体" w:hAnsi="宋体" w:eastAsia="宋体" w:cs="宋体"/>
                <w:bCs/>
                <w:sz w:val="28"/>
                <w:szCs w:val="28"/>
              </w:rPr>
              <w:t>评分方法</w:t>
            </w:r>
          </w:p>
        </w:tc>
      </w:tr>
      <w:tr w14:paraId="34AC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7DF18D07">
            <w:pPr>
              <w:keepNext w:val="0"/>
              <w:keepLines w:val="0"/>
              <w:pageBreakBefore w:val="0"/>
              <w:widowControl/>
              <w:kinsoku/>
              <w:wordWrap/>
              <w:overflowPunct/>
              <w:topLinePunct w:val="0"/>
              <w:autoSpaceDE/>
              <w:autoSpaceDN/>
              <w:bidi w:val="0"/>
              <w:adjustRightInd w:val="0"/>
              <w:snapToGrid w:val="0"/>
              <w:spacing w:line="440" w:lineRule="exact"/>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A. 理论考核</w:t>
            </w:r>
          </w:p>
        </w:tc>
        <w:tc>
          <w:tcPr>
            <w:tcW w:w="3112" w:type="dxa"/>
            <w:vAlign w:val="center"/>
          </w:tcPr>
          <w:p w14:paraId="36BC37A9">
            <w:pPr>
              <w:keepNext w:val="0"/>
              <w:keepLines w:val="0"/>
              <w:pageBreakBefore w:val="0"/>
              <w:widowControl/>
              <w:kinsoku/>
              <w:wordWrap/>
              <w:overflowPunct/>
              <w:topLinePunct w:val="0"/>
              <w:autoSpaceDE/>
              <w:autoSpaceDN/>
              <w:bidi w:val="0"/>
              <w:adjustRightInd w:val="0"/>
              <w:snapToGrid w:val="0"/>
              <w:spacing w:line="440" w:lineRule="exact"/>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按照职业标准高级工的相关理论知识进行理论知识考核</w:t>
            </w:r>
          </w:p>
        </w:tc>
        <w:tc>
          <w:tcPr>
            <w:tcW w:w="1424" w:type="dxa"/>
            <w:vAlign w:val="center"/>
          </w:tcPr>
          <w:p w14:paraId="6DB01A72">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20%</w:t>
            </w:r>
          </w:p>
        </w:tc>
        <w:tc>
          <w:tcPr>
            <w:tcW w:w="1843" w:type="dxa"/>
            <w:vAlign w:val="center"/>
          </w:tcPr>
          <w:p w14:paraId="71005440">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机评</w:t>
            </w:r>
          </w:p>
        </w:tc>
      </w:tr>
      <w:tr w14:paraId="00232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6BC753B7">
            <w:pPr>
              <w:keepNext w:val="0"/>
              <w:keepLines w:val="0"/>
              <w:pageBreakBefore w:val="0"/>
              <w:widowControl/>
              <w:kinsoku/>
              <w:wordWrap/>
              <w:overflowPunct/>
              <w:topLinePunct w:val="0"/>
              <w:autoSpaceDE/>
              <w:autoSpaceDN/>
              <w:bidi w:val="0"/>
              <w:adjustRightInd w:val="0"/>
              <w:snapToGrid w:val="0"/>
              <w:spacing w:line="440" w:lineRule="exact"/>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B. 计算机系统板级维修及芯片级维修</w:t>
            </w:r>
          </w:p>
        </w:tc>
        <w:tc>
          <w:tcPr>
            <w:tcW w:w="3112" w:type="dxa"/>
            <w:vAlign w:val="center"/>
          </w:tcPr>
          <w:p w14:paraId="58E38DEA">
            <w:pPr>
              <w:keepNext w:val="0"/>
              <w:keepLines w:val="0"/>
              <w:pageBreakBefore w:val="0"/>
              <w:widowControl/>
              <w:kinsoku/>
              <w:wordWrap/>
              <w:overflowPunct/>
              <w:topLinePunct w:val="0"/>
              <w:autoSpaceDE/>
              <w:autoSpaceDN/>
              <w:bidi w:val="0"/>
              <w:adjustRightInd w:val="0"/>
              <w:snapToGrid w:val="0"/>
              <w:spacing w:line="440" w:lineRule="exact"/>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对指定组件功能模块进行检检测及维修，恢复产品原有功能</w:t>
            </w:r>
          </w:p>
        </w:tc>
        <w:tc>
          <w:tcPr>
            <w:tcW w:w="1424" w:type="dxa"/>
            <w:vAlign w:val="center"/>
          </w:tcPr>
          <w:p w14:paraId="2CC81C5B">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35%</w:t>
            </w:r>
          </w:p>
        </w:tc>
        <w:tc>
          <w:tcPr>
            <w:tcW w:w="1843" w:type="dxa"/>
            <w:vAlign w:val="center"/>
          </w:tcPr>
          <w:p w14:paraId="29D58A30">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客观性评分</w:t>
            </w:r>
          </w:p>
        </w:tc>
      </w:tr>
      <w:tr w14:paraId="04DA5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5EF1C0F5">
            <w:pPr>
              <w:keepNext w:val="0"/>
              <w:keepLines w:val="0"/>
              <w:pageBreakBefore w:val="0"/>
              <w:widowControl/>
              <w:kinsoku/>
              <w:wordWrap/>
              <w:overflowPunct/>
              <w:topLinePunct w:val="0"/>
              <w:autoSpaceDE/>
              <w:autoSpaceDN/>
              <w:bidi w:val="0"/>
              <w:adjustRightInd w:val="0"/>
              <w:snapToGrid w:val="0"/>
              <w:spacing w:line="440" w:lineRule="exact"/>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C. 存储介质数据备份与恢复</w:t>
            </w:r>
          </w:p>
        </w:tc>
        <w:tc>
          <w:tcPr>
            <w:tcW w:w="3112" w:type="dxa"/>
            <w:vAlign w:val="center"/>
          </w:tcPr>
          <w:p w14:paraId="7B845E41">
            <w:pPr>
              <w:keepNext w:val="0"/>
              <w:keepLines w:val="0"/>
              <w:pageBreakBefore w:val="0"/>
              <w:widowControl/>
              <w:kinsoku/>
              <w:wordWrap/>
              <w:overflowPunct/>
              <w:topLinePunct w:val="0"/>
              <w:autoSpaceDE/>
              <w:autoSpaceDN/>
              <w:bidi w:val="0"/>
              <w:adjustRightInd w:val="0"/>
              <w:snapToGrid w:val="0"/>
              <w:spacing w:line="440" w:lineRule="exact"/>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完成指定存储介质的数据恢复工作，按照要求将指定存储介质内部的指定文件名资料文件，提取其中的内容交付</w:t>
            </w:r>
          </w:p>
        </w:tc>
        <w:tc>
          <w:tcPr>
            <w:tcW w:w="1424" w:type="dxa"/>
            <w:vAlign w:val="center"/>
          </w:tcPr>
          <w:p w14:paraId="2020D761">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40%</w:t>
            </w:r>
          </w:p>
        </w:tc>
        <w:tc>
          <w:tcPr>
            <w:tcW w:w="1843" w:type="dxa"/>
            <w:vAlign w:val="center"/>
          </w:tcPr>
          <w:p w14:paraId="6421EEFD">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客观性评分</w:t>
            </w:r>
          </w:p>
        </w:tc>
      </w:tr>
      <w:tr w14:paraId="6D02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48780C47">
            <w:pPr>
              <w:keepNext w:val="0"/>
              <w:keepLines w:val="0"/>
              <w:pageBreakBefore w:val="0"/>
              <w:widowControl/>
              <w:kinsoku/>
              <w:wordWrap/>
              <w:overflowPunct/>
              <w:topLinePunct w:val="0"/>
              <w:autoSpaceDE/>
              <w:autoSpaceDN/>
              <w:bidi w:val="0"/>
              <w:adjustRightInd w:val="0"/>
              <w:snapToGrid w:val="0"/>
              <w:spacing w:line="440" w:lineRule="exact"/>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D. 职业素养</w:t>
            </w:r>
          </w:p>
        </w:tc>
        <w:tc>
          <w:tcPr>
            <w:tcW w:w="3112" w:type="dxa"/>
            <w:vAlign w:val="center"/>
          </w:tcPr>
          <w:p w14:paraId="407BCE65">
            <w:pPr>
              <w:keepNext w:val="0"/>
              <w:keepLines w:val="0"/>
              <w:pageBreakBefore w:val="0"/>
              <w:widowControl/>
              <w:kinsoku/>
              <w:wordWrap/>
              <w:overflowPunct/>
              <w:topLinePunct w:val="0"/>
              <w:autoSpaceDE/>
              <w:autoSpaceDN/>
              <w:bidi w:val="0"/>
              <w:adjustRightInd w:val="0"/>
              <w:snapToGrid w:val="0"/>
              <w:spacing w:line="440" w:lineRule="exact"/>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对竞赛过程中选手的职业技能行为习惯进行综合测评</w:t>
            </w:r>
          </w:p>
        </w:tc>
        <w:tc>
          <w:tcPr>
            <w:tcW w:w="1424" w:type="dxa"/>
            <w:vAlign w:val="center"/>
          </w:tcPr>
          <w:p w14:paraId="68A9C0EC">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5%</w:t>
            </w:r>
          </w:p>
        </w:tc>
        <w:tc>
          <w:tcPr>
            <w:tcW w:w="1843" w:type="dxa"/>
            <w:vAlign w:val="center"/>
          </w:tcPr>
          <w:p w14:paraId="646E0D59">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主观性评分</w:t>
            </w:r>
          </w:p>
        </w:tc>
      </w:tr>
    </w:tbl>
    <w:p w14:paraId="14F5BF22">
      <w:pPr>
        <w:pStyle w:val="12"/>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cs="宋体"/>
          <w:b/>
          <w:sz w:val="28"/>
          <w:szCs w:val="28"/>
        </w:rPr>
      </w:pPr>
      <w:r>
        <w:rPr>
          <w:rFonts w:hint="eastAsia" w:ascii="宋体" w:hAnsi="宋体" w:eastAsia="宋体" w:cs="宋体"/>
          <w:b/>
          <w:sz w:val="28"/>
          <w:szCs w:val="28"/>
        </w:rPr>
        <w:t>竞赛时间</w:t>
      </w:r>
    </w:p>
    <w:p w14:paraId="32B24B14">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2024年11月16日</w:t>
      </w:r>
    </w:p>
    <w:p w14:paraId="7CF6FBEE">
      <w:pPr>
        <w:pStyle w:val="12"/>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cs="宋体"/>
          <w:b/>
          <w:sz w:val="28"/>
          <w:szCs w:val="28"/>
        </w:rPr>
      </w:pPr>
      <w:r>
        <w:rPr>
          <w:rFonts w:hint="eastAsia" w:ascii="宋体" w:hAnsi="宋体" w:eastAsia="宋体" w:cs="宋体"/>
          <w:b/>
          <w:sz w:val="28"/>
          <w:szCs w:val="28"/>
        </w:rPr>
        <w:t>竞赛地点</w:t>
      </w:r>
    </w:p>
    <w:p w14:paraId="2A2BC61C">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上海市工商外国语学校（上海市徐汇区百色支路35号）</w:t>
      </w:r>
    </w:p>
    <w:p w14:paraId="6C5BE255">
      <w:pPr>
        <w:pStyle w:val="12"/>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cs="宋体"/>
          <w:b/>
          <w:sz w:val="28"/>
          <w:szCs w:val="28"/>
        </w:rPr>
      </w:pPr>
      <w:r>
        <w:rPr>
          <w:rFonts w:hint="eastAsia" w:ascii="宋体" w:hAnsi="宋体" w:eastAsia="宋体" w:cs="宋体"/>
          <w:b/>
          <w:sz w:val="28"/>
          <w:szCs w:val="28"/>
        </w:rPr>
        <w:t>奖项设置</w:t>
      </w:r>
    </w:p>
    <w:p w14:paraId="1C06BFA2">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竞赛设一等奖1名，二等奖3名，三等奖5名。</w:t>
      </w:r>
    </w:p>
    <w:p w14:paraId="49F25AEE">
      <w:pPr>
        <w:pStyle w:val="12"/>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hint="eastAsia" w:ascii="宋体" w:hAnsi="宋体" w:eastAsia="宋体" w:cs="宋体"/>
          <w:b/>
          <w:sz w:val="28"/>
          <w:szCs w:val="28"/>
        </w:rPr>
      </w:pPr>
      <w:r>
        <w:rPr>
          <w:rFonts w:hint="eastAsia" w:ascii="宋体" w:hAnsi="宋体" w:eastAsia="宋体" w:cs="宋体"/>
          <w:b/>
          <w:sz w:val="28"/>
          <w:szCs w:val="28"/>
        </w:rPr>
        <w:t>注意事项</w:t>
      </w:r>
    </w:p>
    <w:p w14:paraId="5A9CE9DA">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1.本项目每个单位限报三队。</w:t>
      </w:r>
    </w:p>
    <w:p w14:paraId="12E5DCDF">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2.各参赛选手要发扬良好道德风尚，听从指挥，服从裁判，不弄虚作假。如发现弄虚作假者，取消参赛资格，名次无效。</w:t>
      </w:r>
    </w:p>
    <w:p w14:paraId="175719ED">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3.参赛选手应按有关要求如实填报个人信息，否则取消竞赛资格。</w:t>
      </w:r>
    </w:p>
    <w:p w14:paraId="038A5472">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4.参赛选手应按照规定时间抵达赛场，凭统一印制的参赛证、有效身份证件检录，按要求入场，不得迟到早退。请勿携带任何电子设备及其他资料、用品进入赛场。</w:t>
      </w:r>
    </w:p>
    <w:p w14:paraId="6CD6477E">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5.参加选手应认真学习领会本次竞赛相关文件，自觉遵守大赛纪律，服从指挥，听从安排，文明参赛。</w:t>
      </w:r>
    </w:p>
    <w:p w14:paraId="7381A1CF">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6.参赛选手应增强角色意识，科学合理做好时间分配。</w:t>
      </w:r>
    </w:p>
    <w:p w14:paraId="4F2977E9">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7.参赛选手应按有关要求在指定位置就坐。</w:t>
      </w:r>
    </w:p>
    <w:p w14:paraId="04EA0D46">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8.参赛选手须在确认竞赛内容和现场设备等无误后开始竞赛。在竞赛过程中，确因计算机软件或硬件故障，致使操作无法继续的，经项目裁判长确认，予以启用备用计算机。</w:t>
      </w:r>
    </w:p>
    <w:p w14:paraId="220BF1ED">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9.各参赛选手必须按规范要求操作竞赛设备。一旦出现较严重的安全事故，经总裁判长批准后将立即取消其参赛资格。</w:t>
      </w:r>
    </w:p>
    <w:p w14:paraId="3F4CCD1E">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10.参赛选手需详细阅读赛题中竞赛文档命名的要求，不得在提交的竞赛文档中标识出任何关于参赛选手地名、校名、姓名、参赛编号等信息，否则取消竞赛成绩。</w:t>
      </w:r>
    </w:p>
    <w:p w14:paraId="0065BE56">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11.竞赛时间终了，选手应全体起立，结束操作，将资料和工具整齐摆放在操作平台上，经工作人员清点后可离开赛场。离开赛场时不得带走任何资料。</w:t>
      </w:r>
    </w:p>
    <w:p w14:paraId="0214F1E3">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jc w:val="both"/>
        <w:textAlignment w:val="auto"/>
        <w:rPr>
          <w:rFonts w:hint="eastAsia" w:ascii="宋体" w:hAnsi="宋体" w:eastAsia="宋体" w:cs="宋体"/>
          <w:bCs/>
          <w:color w:val="000000"/>
          <w:kern w:val="2"/>
          <w:sz w:val="28"/>
          <w:szCs w:val="28"/>
        </w:rPr>
      </w:pPr>
      <w:r>
        <w:rPr>
          <w:rFonts w:hint="eastAsia" w:ascii="宋体" w:hAnsi="宋体" w:eastAsia="宋体" w:cs="宋体"/>
          <w:bCs/>
          <w:color w:val="000000"/>
          <w:kern w:val="2"/>
          <w:sz w:val="28"/>
          <w:szCs w:val="28"/>
        </w:rPr>
        <w:t>12.在竞赛期间，未经执委会批准，参赛选手不得接受其他单位和个人进行的与竞赛内容相关的采访。参赛选手不得将竞赛的相关信息私自公布。</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858C3"/>
    <w:multiLevelType w:val="multilevel"/>
    <w:tmpl w:val="1C7858C3"/>
    <w:lvl w:ilvl="0" w:tentative="0">
      <w:start w:val="1"/>
      <w:numFmt w:val="decimal"/>
      <w:lvlText w:val="（%1）"/>
      <w:lvlJc w:val="left"/>
      <w:pPr>
        <w:ind w:left="1080" w:hanging="44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1008" w:hanging="440"/>
      </w:pPr>
      <w:rPr>
        <w:rFonts w:hint="default"/>
      </w:r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abstractNum w:abstractNumId="1">
    <w:nsid w:val="1E793FAA"/>
    <w:multiLevelType w:val="multilevel"/>
    <w:tmpl w:val="1E793FAA"/>
    <w:lvl w:ilvl="0" w:tentative="0">
      <w:start w:val="1"/>
      <w:numFmt w:val="decimal"/>
      <w:lvlText w:val="（%1）"/>
      <w:lvlJc w:val="left"/>
      <w:pPr>
        <w:ind w:left="1008" w:hanging="440"/>
      </w:pPr>
      <w:rPr>
        <w:rFonts w:hint="default"/>
      </w:rPr>
    </w:lvl>
    <w:lvl w:ilvl="1" w:tentative="0">
      <w:start w:val="1"/>
      <w:numFmt w:val="lowerLetter"/>
      <w:lvlText w:val="%2)"/>
      <w:lvlJc w:val="left"/>
      <w:pPr>
        <w:ind w:left="1448" w:hanging="440"/>
      </w:pPr>
    </w:lvl>
    <w:lvl w:ilvl="2" w:tentative="0">
      <w:start w:val="1"/>
      <w:numFmt w:val="lowerRoman"/>
      <w:lvlText w:val="%3."/>
      <w:lvlJc w:val="right"/>
      <w:pPr>
        <w:ind w:left="1888" w:hanging="440"/>
      </w:pPr>
    </w:lvl>
    <w:lvl w:ilvl="3" w:tentative="0">
      <w:start w:val="1"/>
      <w:numFmt w:val="decimal"/>
      <w:lvlText w:val="%4."/>
      <w:lvlJc w:val="left"/>
      <w:pPr>
        <w:ind w:left="2328" w:hanging="440"/>
      </w:pPr>
    </w:lvl>
    <w:lvl w:ilvl="4" w:tentative="0">
      <w:start w:val="1"/>
      <w:numFmt w:val="lowerLetter"/>
      <w:lvlText w:val="%5)"/>
      <w:lvlJc w:val="left"/>
      <w:pPr>
        <w:ind w:left="2768" w:hanging="440"/>
      </w:pPr>
    </w:lvl>
    <w:lvl w:ilvl="5" w:tentative="0">
      <w:start w:val="1"/>
      <w:numFmt w:val="lowerRoman"/>
      <w:lvlText w:val="%6."/>
      <w:lvlJc w:val="right"/>
      <w:pPr>
        <w:ind w:left="3208" w:hanging="440"/>
      </w:pPr>
    </w:lvl>
    <w:lvl w:ilvl="6" w:tentative="0">
      <w:start w:val="1"/>
      <w:numFmt w:val="decimal"/>
      <w:lvlText w:val="%7."/>
      <w:lvlJc w:val="left"/>
      <w:pPr>
        <w:ind w:left="3648" w:hanging="440"/>
      </w:pPr>
    </w:lvl>
    <w:lvl w:ilvl="7" w:tentative="0">
      <w:start w:val="1"/>
      <w:numFmt w:val="lowerLetter"/>
      <w:lvlText w:val="%8)"/>
      <w:lvlJc w:val="left"/>
      <w:pPr>
        <w:ind w:left="4088" w:hanging="440"/>
      </w:pPr>
    </w:lvl>
    <w:lvl w:ilvl="8" w:tentative="0">
      <w:start w:val="1"/>
      <w:numFmt w:val="lowerRoman"/>
      <w:lvlText w:val="%9."/>
      <w:lvlJc w:val="right"/>
      <w:pPr>
        <w:ind w:left="4528" w:hanging="440"/>
      </w:pPr>
    </w:lvl>
  </w:abstractNum>
  <w:abstractNum w:abstractNumId="2">
    <w:nsid w:val="584D4EC5"/>
    <w:multiLevelType w:val="multilevel"/>
    <w:tmpl w:val="584D4EC5"/>
    <w:lvl w:ilvl="0" w:tentative="0">
      <w:start w:val="1"/>
      <w:numFmt w:val="japaneseCounting"/>
      <w:lvlText w:val="%1、"/>
      <w:lvlJc w:val="left"/>
      <w:pPr>
        <w:ind w:left="1250" w:hanging="690"/>
      </w:pPr>
      <w:rPr>
        <w:rFonts w:hint="default"/>
        <w:b/>
        <w:sz w:val="28"/>
        <w:szCs w:val="28"/>
        <w:lang w:val="en-US"/>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60E1642E"/>
    <w:multiLevelType w:val="multilevel"/>
    <w:tmpl w:val="60E1642E"/>
    <w:lvl w:ilvl="0" w:tentative="0">
      <w:start w:val="1"/>
      <w:numFmt w:val="decimal"/>
      <w:lvlText w:val="（%1）"/>
      <w:lvlJc w:val="left"/>
      <w:pPr>
        <w:ind w:left="1008" w:hanging="440"/>
      </w:pPr>
      <w:rPr>
        <w:rFonts w:hint="default"/>
      </w:rPr>
    </w:lvl>
    <w:lvl w:ilvl="1" w:tentative="0">
      <w:start w:val="1"/>
      <w:numFmt w:val="lowerLetter"/>
      <w:lvlText w:val="%2)"/>
      <w:lvlJc w:val="left"/>
      <w:pPr>
        <w:ind w:left="1448" w:hanging="440"/>
      </w:pPr>
    </w:lvl>
    <w:lvl w:ilvl="2" w:tentative="0">
      <w:start w:val="1"/>
      <w:numFmt w:val="lowerRoman"/>
      <w:lvlText w:val="%3."/>
      <w:lvlJc w:val="right"/>
      <w:pPr>
        <w:ind w:left="1888" w:hanging="440"/>
      </w:pPr>
    </w:lvl>
    <w:lvl w:ilvl="3" w:tentative="0">
      <w:start w:val="1"/>
      <w:numFmt w:val="decimal"/>
      <w:lvlText w:val="%4."/>
      <w:lvlJc w:val="left"/>
      <w:pPr>
        <w:ind w:left="2328" w:hanging="440"/>
      </w:pPr>
    </w:lvl>
    <w:lvl w:ilvl="4" w:tentative="0">
      <w:start w:val="1"/>
      <w:numFmt w:val="lowerLetter"/>
      <w:lvlText w:val="%5)"/>
      <w:lvlJc w:val="left"/>
      <w:pPr>
        <w:ind w:left="2768" w:hanging="440"/>
      </w:pPr>
    </w:lvl>
    <w:lvl w:ilvl="5" w:tentative="0">
      <w:start w:val="1"/>
      <w:numFmt w:val="lowerRoman"/>
      <w:lvlText w:val="%6."/>
      <w:lvlJc w:val="right"/>
      <w:pPr>
        <w:ind w:left="3208" w:hanging="440"/>
      </w:pPr>
    </w:lvl>
    <w:lvl w:ilvl="6" w:tentative="0">
      <w:start w:val="1"/>
      <w:numFmt w:val="decimal"/>
      <w:lvlText w:val="%7."/>
      <w:lvlJc w:val="left"/>
      <w:pPr>
        <w:ind w:left="3648" w:hanging="440"/>
      </w:pPr>
    </w:lvl>
    <w:lvl w:ilvl="7" w:tentative="0">
      <w:start w:val="1"/>
      <w:numFmt w:val="lowerLetter"/>
      <w:lvlText w:val="%8)"/>
      <w:lvlJc w:val="left"/>
      <w:pPr>
        <w:ind w:left="4088" w:hanging="440"/>
      </w:pPr>
    </w:lvl>
    <w:lvl w:ilvl="8" w:tentative="0">
      <w:start w:val="1"/>
      <w:numFmt w:val="lowerRoman"/>
      <w:lvlText w:val="%9."/>
      <w:lvlJc w:val="right"/>
      <w:pPr>
        <w:ind w:left="4528" w:hanging="44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5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MDI1NWVlZTA3M2EwNDgwMWZmY2JjMGZkNDBiZjQifQ=="/>
  </w:docVars>
  <w:rsids>
    <w:rsidRoot w:val="00D31D50"/>
    <w:rsid w:val="00000037"/>
    <w:rsid w:val="0000352F"/>
    <w:rsid w:val="00014EB3"/>
    <w:rsid w:val="000250F9"/>
    <w:rsid w:val="00027D9F"/>
    <w:rsid w:val="00067540"/>
    <w:rsid w:val="00072721"/>
    <w:rsid w:val="000A486C"/>
    <w:rsid w:val="000D48E3"/>
    <w:rsid w:val="000F12C1"/>
    <w:rsid w:val="000F1F03"/>
    <w:rsid w:val="0011695A"/>
    <w:rsid w:val="001326DF"/>
    <w:rsid w:val="00146CD4"/>
    <w:rsid w:val="00151639"/>
    <w:rsid w:val="001541D1"/>
    <w:rsid w:val="0018675E"/>
    <w:rsid w:val="001B6016"/>
    <w:rsid w:val="001F03C1"/>
    <w:rsid w:val="00205219"/>
    <w:rsid w:val="00226BA2"/>
    <w:rsid w:val="00231B8C"/>
    <w:rsid w:val="00232E7A"/>
    <w:rsid w:val="00263825"/>
    <w:rsid w:val="00276D12"/>
    <w:rsid w:val="00290FFE"/>
    <w:rsid w:val="002D178C"/>
    <w:rsid w:val="002D20B5"/>
    <w:rsid w:val="002D27D2"/>
    <w:rsid w:val="002D33D1"/>
    <w:rsid w:val="002E1121"/>
    <w:rsid w:val="002E29CF"/>
    <w:rsid w:val="002F20F9"/>
    <w:rsid w:val="00314761"/>
    <w:rsid w:val="00316555"/>
    <w:rsid w:val="00317587"/>
    <w:rsid w:val="00320244"/>
    <w:rsid w:val="00323B43"/>
    <w:rsid w:val="00332EB3"/>
    <w:rsid w:val="003344CA"/>
    <w:rsid w:val="00341F3B"/>
    <w:rsid w:val="00347CB9"/>
    <w:rsid w:val="003736CF"/>
    <w:rsid w:val="00385B76"/>
    <w:rsid w:val="003870FD"/>
    <w:rsid w:val="00395727"/>
    <w:rsid w:val="003A2145"/>
    <w:rsid w:val="003A2E13"/>
    <w:rsid w:val="003D2EA1"/>
    <w:rsid w:val="003D37D8"/>
    <w:rsid w:val="00426133"/>
    <w:rsid w:val="004310B4"/>
    <w:rsid w:val="00432041"/>
    <w:rsid w:val="004358AB"/>
    <w:rsid w:val="004400AD"/>
    <w:rsid w:val="0044340C"/>
    <w:rsid w:val="004533C4"/>
    <w:rsid w:val="0047445E"/>
    <w:rsid w:val="004A519E"/>
    <w:rsid w:val="004B2EE8"/>
    <w:rsid w:val="004B69B9"/>
    <w:rsid w:val="004C3294"/>
    <w:rsid w:val="004D21A5"/>
    <w:rsid w:val="004E1E40"/>
    <w:rsid w:val="004E3D33"/>
    <w:rsid w:val="0050234C"/>
    <w:rsid w:val="00524AA6"/>
    <w:rsid w:val="00526C23"/>
    <w:rsid w:val="00531012"/>
    <w:rsid w:val="0054219B"/>
    <w:rsid w:val="0055768F"/>
    <w:rsid w:val="005911EC"/>
    <w:rsid w:val="005B14A4"/>
    <w:rsid w:val="005E649C"/>
    <w:rsid w:val="006449C3"/>
    <w:rsid w:val="00650FEE"/>
    <w:rsid w:val="0067207B"/>
    <w:rsid w:val="0067602E"/>
    <w:rsid w:val="006A3F4A"/>
    <w:rsid w:val="006B1D05"/>
    <w:rsid w:val="006C356C"/>
    <w:rsid w:val="007028B9"/>
    <w:rsid w:val="00703764"/>
    <w:rsid w:val="00731DC5"/>
    <w:rsid w:val="00731E8B"/>
    <w:rsid w:val="00737B44"/>
    <w:rsid w:val="00740C08"/>
    <w:rsid w:val="0074126E"/>
    <w:rsid w:val="00741CB0"/>
    <w:rsid w:val="00751753"/>
    <w:rsid w:val="007579AF"/>
    <w:rsid w:val="007D27A9"/>
    <w:rsid w:val="00800E9A"/>
    <w:rsid w:val="00827954"/>
    <w:rsid w:val="008338DF"/>
    <w:rsid w:val="008800A5"/>
    <w:rsid w:val="0089397C"/>
    <w:rsid w:val="008B2272"/>
    <w:rsid w:val="008B7726"/>
    <w:rsid w:val="008F2AE5"/>
    <w:rsid w:val="00966AA9"/>
    <w:rsid w:val="00971B3B"/>
    <w:rsid w:val="00993197"/>
    <w:rsid w:val="009A3B90"/>
    <w:rsid w:val="009A7222"/>
    <w:rsid w:val="009C58D4"/>
    <w:rsid w:val="009D18B6"/>
    <w:rsid w:val="009D1A84"/>
    <w:rsid w:val="00A44F15"/>
    <w:rsid w:val="00A508DC"/>
    <w:rsid w:val="00A53CE6"/>
    <w:rsid w:val="00A73FB8"/>
    <w:rsid w:val="00A80CA6"/>
    <w:rsid w:val="00AA1867"/>
    <w:rsid w:val="00AA57E6"/>
    <w:rsid w:val="00AB729A"/>
    <w:rsid w:val="00B04484"/>
    <w:rsid w:val="00B27833"/>
    <w:rsid w:val="00B367CE"/>
    <w:rsid w:val="00B4285F"/>
    <w:rsid w:val="00BD468C"/>
    <w:rsid w:val="00BE50D0"/>
    <w:rsid w:val="00C239F8"/>
    <w:rsid w:val="00C35118"/>
    <w:rsid w:val="00C43755"/>
    <w:rsid w:val="00C45B18"/>
    <w:rsid w:val="00C463DE"/>
    <w:rsid w:val="00C477A5"/>
    <w:rsid w:val="00C7457F"/>
    <w:rsid w:val="00C9103B"/>
    <w:rsid w:val="00C91160"/>
    <w:rsid w:val="00C9418F"/>
    <w:rsid w:val="00CA6540"/>
    <w:rsid w:val="00CB1BB6"/>
    <w:rsid w:val="00CC1CD9"/>
    <w:rsid w:val="00CF5BBA"/>
    <w:rsid w:val="00D26C67"/>
    <w:rsid w:val="00D31D50"/>
    <w:rsid w:val="00D56235"/>
    <w:rsid w:val="00D756CB"/>
    <w:rsid w:val="00D90ACF"/>
    <w:rsid w:val="00D9131D"/>
    <w:rsid w:val="00D93528"/>
    <w:rsid w:val="00DB26A6"/>
    <w:rsid w:val="00DC601C"/>
    <w:rsid w:val="00E03F79"/>
    <w:rsid w:val="00E0626B"/>
    <w:rsid w:val="00E17E91"/>
    <w:rsid w:val="00E27D59"/>
    <w:rsid w:val="00E570B5"/>
    <w:rsid w:val="00E80D29"/>
    <w:rsid w:val="00E8286F"/>
    <w:rsid w:val="00E90703"/>
    <w:rsid w:val="00ED5824"/>
    <w:rsid w:val="00EE678C"/>
    <w:rsid w:val="00EF49F3"/>
    <w:rsid w:val="00F02243"/>
    <w:rsid w:val="00F05552"/>
    <w:rsid w:val="00F13747"/>
    <w:rsid w:val="00F71938"/>
    <w:rsid w:val="00F72C8E"/>
    <w:rsid w:val="00F85F9E"/>
    <w:rsid w:val="00F93D31"/>
    <w:rsid w:val="00FD2545"/>
    <w:rsid w:val="00FE3D81"/>
    <w:rsid w:val="139B6389"/>
    <w:rsid w:val="1B23058D"/>
    <w:rsid w:val="1D5B7BDB"/>
    <w:rsid w:val="259D4EAF"/>
    <w:rsid w:val="3DAC754E"/>
    <w:rsid w:val="435E06A0"/>
    <w:rsid w:val="438837D9"/>
    <w:rsid w:val="5EB65F81"/>
    <w:rsid w:val="658A6824"/>
    <w:rsid w:val="706B23F9"/>
    <w:rsid w:val="71433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3"/>
    <w:basedOn w:val="1"/>
    <w:next w:val="1"/>
    <w:link w:val="20"/>
    <w:unhideWhenUsed/>
    <w:qFormat/>
    <w:uiPriority w:val="0"/>
    <w:pPr>
      <w:keepNext/>
      <w:keepLines/>
      <w:widowControl w:val="0"/>
      <w:adjustRightInd/>
      <w:snapToGrid/>
      <w:spacing w:before="260" w:after="260" w:line="416" w:lineRule="auto"/>
      <w:jc w:val="both"/>
      <w:outlineLvl w:val="2"/>
    </w:pPr>
    <w:rPr>
      <w:rFonts w:eastAsia="仿宋_GB2312" w:asciiTheme="minorHAnsi" w:hAnsiTheme="minorHAnsi" w:cstheme="minorBidi"/>
      <w:b/>
      <w:bCs/>
      <w:kern w:val="2"/>
      <w:sz w:val="28"/>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4"/>
    <w:qFormat/>
    <w:uiPriority w:val="0"/>
    <w:pPr>
      <w:widowControl w:val="0"/>
      <w:adjustRightInd/>
      <w:snapToGrid/>
      <w:spacing w:after="0"/>
      <w:ind w:firstLine="600" w:firstLineChars="200"/>
      <w:jc w:val="both"/>
    </w:pPr>
    <w:rPr>
      <w:rFonts w:ascii="Times New Roman" w:hAnsi="Times New Roman" w:eastAsia="宋体"/>
      <w:kern w:val="2"/>
      <w:sz w:val="30"/>
      <w:szCs w:val="24"/>
    </w:rPr>
  </w:style>
  <w:style w:type="paragraph" w:styleId="4">
    <w:name w:val="Date"/>
    <w:basedOn w:val="1"/>
    <w:next w:val="1"/>
    <w:link w:val="13"/>
    <w:semiHidden/>
    <w:unhideWhenUsed/>
    <w:qFormat/>
    <w:uiPriority w:val="99"/>
    <w:pPr>
      <w:ind w:left="100" w:leftChars="2500"/>
    </w:pPr>
    <w:rPr>
      <w:sz w:val="20"/>
      <w:szCs w:val="20"/>
    </w:rPr>
  </w:style>
  <w:style w:type="paragraph" w:styleId="5">
    <w:name w:val="Balloon Text"/>
    <w:basedOn w:val="1"/>
    <w:link w:val="15"/>
    <w:semiHidden/>
    <w:unhideWhenUsed/>
    <w:qFormat/>
    <w:uiPriority w:val="99"/>
    <w:pPr>
      <w:spacing w:after="0"/>
    </w:pPr>
    <w:rPr>
      <w:sz w:val="18"/>
      <w:szCs w:val="18"/>
    </w:rPr>
  </w:style>
  <w:style w:type="paragraph" w:styleId="6">
    <w:name w:val="footer"/>
    <w:basedOn w:val="1"/>
    <w:link w:val="17"/>
    <w:unhideWhenUsed/>
    <w:qFormat/>
    <w:uiPriority w:val="99"/>
    <w:pPr>
      <w:tabs>
        <w:tab w:val="center" w:pos="4153"/>
        <w:tab w:val="right" w:pos="8306"/>
      </w:tabs>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jc w:val="center"/>
    </w:pPr>
    <w:rPr>
      <w:sz w:val="18"/>
      <w:szCs w:val="18"/>
    </w:rPr>
  </w:style>
  <w:style w:type="paragraph" w:styleId="8">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table" w:styleId="10">
    <w:name w:val="Table Grid"/>
    <w:basedOn w:val="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2">
    <w:name w:val="List Paragraph"/>
    <w:basedOn w:val="1"/>
    <w:qFormat/>
    <w:uiPriority w:val="99"/>
    <w:pPr>
      <w:ind w:firstLine="420" w:firstLineChars="200"/>
    </w:pPr>
  </w:style>
  <w:style w:type="character" w:customStyle="1" w:styleId="13">
    <w:name w:val="日期 Char"/>
    <w:link w:val="4"/>
    <w:semiHidden/>
    <w:qFormat/>
    <w:uiPriority w:val="99"/>
    <w:rPr>
      <w:rFonts w:ascii="Tahoma" w:hAnsi="Tahoma"/>
    </w:rPr>
  </w:style>
  <w:style w:type="character" w:customStyle="1" w:styleId="14">
    <w:name w:val="正文文本缩进 Char"/>
    <w:link w:val="3"/>
    <w:qFormat/>
    <w:uiPriority w:val="0"/>
    <w:rPr>
      <w:rFonts w:ascii="Times New Roman" w:hAnsi="Times New Roman" w:eastAsia="宋体" w:cs="Times New Roman"/>
      <w:kern w:val="2"/>
      <w:sz w:val="30"/>
      <w:szCs w:val="24"/>
    </w:rPr>
  </w:style>
  <w:style w:type="character" w:customStyle="1" w:styleId="15">
    <w:name w:val="批注框文本 Char"/>
    <w:link w:val="5"/>
    <w:semiHidden/>
    <w:qFormat/>
    <w:uiPriority w:val="99"/>
    <w:rPr>
      <w:rFonts w:ascii="Tahoma" w:hAnsi="Tahoma"/>
      <w:sz w:val="18"/>
      <w:szCs w:val="18"/>
    </w:rPr>
  </w:style>
  <w:style w:type="character" w:customStyle="1" w:styleId="16">
    <w:name w:val="页眉 Char"/>
    <w:link w:val="7"/>
    <w:qFormat/>
    <w:uiPriority w:val="99"/>
    <w:rPr>
      <w:rFonts w:ascii="Tahoma" w:hAnsi="Tahoma"/>
      <w:sz w:val="18"/>
      <w:szCs w:val="18"/>
    </w:rPr>
  </w:style>
  <w:style w:type="character" w:customStyle="1" w:styleId="17">
    <w:name w:val="页脚 Char"/>
    <w:link w:val="6"/>
    <w:qFormat/>
    <w:uiPriority w:val="99"/>
    <w:rPr>
      <w:rFonts w:ascii="Tahoma" w:hAnsi="Tahoma"/>
      <w:sz w:val="18"/>
      <w:szCs w:val="18"/>
    </w:rPr>
  </w:style>
  <w:style w:type="paragraph" w:customStyle="1" w:styleId="18">
    <w:name w:val="工作文件正文"/>
    <w:basedOn w:val="1"/>
    <w:link w:val="19"/>
    <w:qFormat/>
    <w:uiPriority w:val="0"/>
    <w:pPr>
      <w:widowControl w:val="0"/>
      <w:adjustRightInd/>
      <w:snapToGrid/>
      <w:spacing w:after="0" w:line="560" w:lineRule="exact"/>
      <w:ind w:firstLine="560" w:firstLineChars="200"/>
      <w:jc w:val="both"/>
    </w:pPr>
    <w:rPr>
      <w:rFonts w:ascii="Times New Roman" w:hAnsi="Times New Roman" w:eastAsia="仿宋_GB2312" w:cstheme="minorBidi"/>
      <w:color w:val="000000"/>
      <w:kern w:val="2"/>
      <w:sz w:val="28"/>
      <w:szCs w:val="28"/>
    </w:rPr>
  </w:style>
  <w:style w:type="character" w:customStyle="1" w:styleId="19">
    <w:name w:val="工作文件正文 字符"/>
    <w:basedOn w:val="11"/>
    <w:link w:val="18"/>
    <w:qFormat/>
    <w:uiPriority w:val="0"/>
    <w:rPr>
      <w:rFonts w:ascii="Times New Roman" w:hAnsi="Times New Roman" w:eastAsia="仿宋_GB2312" w:cstheme="minorBidi"/>
      <w:color w:val="000000"/>
      <w:kern w:val="2"/>
      <w:sz w:val="28"/>
      <w:szCs w:val="28"/>
    </w:rPr>
  </w:style>
  <w:style w:type="character" w:customStyle="1" w:styleId="20">
    <w:name w:val="标题 3 Char"/>
    <w:basedOn w:val="11"/>
    <w:link w:val="2"/>
    <w:qFormat/>
    <w:uiPriority w:val="0"/>
    <w:rPr>
      <w:rFonts w:eastAsia="仿宋_GB2312" w:asciiTheme="minorHAnsi" w:hAnsiTheme="minorHAnsi" w:cstheme="minorBidi"/>
      <w:b/>
      <w:bCs/>
      <w:kern w:val="2"/>
      <w:sz w:val="28"/>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8</Pages>
  <Words>4275</Words>
  <Characters>4489</Characters>
  <Lines>33</Lines>
  <Paragraphs>9</Paragraphs>
  <TotalTime>11</TotalTime>
  <ScaleCrop>false</ScaleCrop>
  <LinksUpToDate>false</LinksUpToDate>
  <CharactersWithSpaces>4500</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2024-08-02T03:27:00Z</dcterms:created>
  <dc:creator>DELL</dc:creator>
  <cp:lastModifiedBy>朱松杰</cp:lastModifiedBy>
  <cp:lastPrinted>2017-08-08T06:02:00Z</cp:lastPrinted>
  <dcterms:modified xsi:type="dcterms:W3CDTF">2024-08-20T06:27:19Z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1359F07C7865426DB6B69EB869601BD8_13</vt:lpwstr>
  </property>
</Properties>
</file>