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7191D9">
      <w:pPr>
        <w:keepNext w:val="0"/>
        <w:keepLines w:val="0"/>
        <w:pageBreakBefore w:val="0"/>
        <w:widowControl/>
        <w:kinsoku/>
        <w:wordWrap/>
        <w:overflowPunct/>
        <w:topLinePunct w:val="0"/>
        <w:autoSpaceDE/>
        <w:autoSpaceDN/>
        <w:bidi w:val="0"/>
        <w:adjustRightInd w:val="0"/>
        <w:snapToGrid w:val="0"/>
        <w:spacing w:after="181" w:afterLines="50" w:line="500" w:lineRule="exact"/>
        <w:jc w:val="center"/>
        <w:textAlignment w:val="auto"/>
        <w:rPr>
          <w:rFonts w:hint="eastAsia" w:ascii="宋体" w:hAnsi="宋体" w:eastAsia="宋体"/>
          <w:b/>
          <w:sz w:val="28"/>
          <w:szCs w:val="28"/>
        </w:rPr>
      </w:pPr>
      <w:r>
        <w:rPr>
          <w:rFonts w:hint="eastAsia" w:ascii="宋体" w:hAnsi="宋体" w:eastAsia="宋体"/>
          <w:b/>
          <w:sz w:val="28"/>
          <w:szCs w:val="28"/>
        </w:rPr>
        <w:t>第十二届“中华杯”工业互联网应用竞赛方案</w:t>
      </w:r>
    </w:p>
    <w:p w14:paraId="3F717A00">
      <w:pPr>
        <w:pStyle w:val="14"/>
        <w:keepNext w:val="0"/>
        <w:keepLines w:val="0"/>
        <w:pageBreakBefore w:val="0"/>
        <w:widowControl/>
        <w:numPr>
          <w:ilvl w:val="0"/>
          <w:numId w:val="3"/>
        </w:numPr>
        <w:kinsoku/>
        <w:wordWrap/>
        <w:overflowPunct/>
        <w:topLinePunct w:val="0"/>
        <w:autoSpaceDE/>
        <w:autoSpaceDN/>
        <w:bidi w:val="0"/>
        <w:adjustRightInd w:val="0"/>
        <w:snapToGrid w:val="0"/>
        <w:spacing w:after="0" w:line="440" w:lineRule="exact"/>
        <w:ind w:firstLineChars="0"/>
        <w:textAlignment w:val="auto"/>
        <w:outlineLvl w:val="0"/>
        <w:rPr>
          <w:rFonts w:hint="eastAsia" w:ascii="宋体" w:hAnsi="宋体" w:eastAsia="宋体" w:cs="宋体"/>
          <w:b/>
          <w:sz w:val="28"/>
          <w:szCs w:val="28"/>
        </w:rPr>
      </w:pPr>
      <w:r>
        <w:rPr>
          <w:rFonts w:hint="eastAsia" w:ascii="宋体" w:hAnsi="宋体" w:eastAsia="宋体" w:cs="宋体"/>
          <w:b/>
          <w:sz w:val="28"/>
          <w:szCs w:val="28"/>
        </w:rPr>
        <w:t>竞赛目的</w:t>
      </w:r>
    </w:p>
    <w:p w14:paraId="3121B817">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 xml:space="preserve">秉承中华职业教育社优良传统，大力弘扬工匠精神，坚持“面向社会、面向青年、面向技能”的竞赛宗旨，为具有工业互联网技术的技能型人才搭建展示技艺的平台，提供切磋交流的载体，营造崇尚技能、匠心筑梦的良好社会氛围。 </w:t>
      </w:r>
    </w:p>
    <w:p w14:paraId="108399A6">
      <w:pPr>
        <w:pStyle w:val="14"/>
        <w:keepNext w:val="0"/>
        <w:keepLines w:val="0"/>
        <w:pageBreakBefore w:val="0"/>
        <w:widowControl/>
        <w:numPr>
          <w:ilvl w:val="0"/>
          <w:numId w:val="3"/>
        </w:numPr>
        <w:kinsoku/>
        <w:wordWrap/>
        <w:overflowPunct/>
        <w:topLinePunct w:val="0"/>
        <w:autoSpaceDE/>
        <w:autoSpaceDN/>
        <w:bidi w:val="0"/>
        <w:adjustRightInd w:val="0"/>
        <w:snapToGrid w:val="0"/>
        <w:spacing w:after="0" w:line="440" w:lineRule="exact"/>
        <w:ind w:firstLineChars="0"/>
        <w:textAlignment w:val="auto"/>
        <w:outlineLvl w:val="0"/>
        <w:rPr>
          <w:rFonts w:hint="eastAsia" w:ascii="宋体" w:hAnsi="宋体" w:eastAsia="宋体" w:cs="宋体"/>
          <w:b/>
          <w:sz w:val="28"/>
          <w:szCs w:val="28"/>
        </w:rPr>
      </w:pPr>
      <w:r>
        <w:rPr>
          <w:rFonts w:hint="eastAsia" w:ascii="宋体" w:hAnsi="宋体" w:eastAsia="宋体" w:cs="宋体"/>
          <w:b/>
          <w:sz w:val="28"/>
          <w:szCs w:val="28"/>
        </w:rPr>
        <w:t>主办单位</w:t>
      </w:r>
    </w:p>
    <w:p w14:paraId="64113B57">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上海中华职业教育社</w:t>
      </w:r>
    </w:p>
    <w:p w14:paraId="03611180">
      <w:pPr>
        <w:pStyle w:val="14"/>
        <w:keepNext w:val="0"/>
        <w:keepLines w:val="0"/>
        <w:pageBreakBefore w:val="0"/>
        <w:widowControl/>
        <w:numPr>
          <w:ilvl w:val="0"/>
          <w:numId w:val="3"/>
        </w:numPr>
        <w:kinsoku/>
        <w:wordWrap/>
        <w:overflowPunct/>
        <w:topLinePunct w:val="0"/>
        <w:autoSpaceDE/>
        <w:autoSpaceDN/>
        <w:bidi w:val="0"/>
        <w:adjustRightInd w:val="0"/>
        <w:snapToGrid w:val="0"/>
        <w:spacing w:after="0" w:line="440" w:lineRule="exact"/>
        <w:ind w:firstLineChars="0"/>
        <w:textAlignment w:val="auto"/>
        <w:outlineLvl w:val="0"/>
        <w:rPr>
          <w:rFonts w:hint="eastAsia" w:ascii="宋体" w:hAnsi="宋体" w:eastAsia="宋体" w:cs="宋体"/>
          <w:b/>
          <w:sz w:val="28"/>
          <w:szCs w:val="28"/>
        </w:rPr>
      </w:pPr>
      <w:r>
        <w:rPr>
          <w:rFonts w:hint="eastAsia" w:ascii="宋体" w:hAnsi="宋体" w:eastAsia="宋体" w:cs="宋体"/>
          <w:b/>
          <w:sz w:val="28"/>
          <w:szCs w:val="28"/>
        </w:rPr>
        <w:t>承办协办单位</w:t>
      </w:r>
    </w:p>
    <w:p w14:paraId="192B06C2">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上海市软件行业协会</w:t>
      </w:r>
      <w:r>
        <w:rPr>
          <w:rFonts w:hint="eastAsia" w:ascii="宋体" w:hAnsi="宋体" w:eastAsia="宋体" w:cs="宋体"/>
          <w:sz w:val="28"/>
          <w:szCs w:val="28"/>
        </w:rPr>
        <w:t>、</w:t>
      </w:r>
      <w:r>
        <w:rPr>
          <w:rFonts w:hint="eastAsia" w:ascii="宋体" w:hAnsi="宋体" w:eastAsia="宋体" w:cs="宋体"/>
          <w:sz w:val="28"/>
          <w:szCs w:val="28"/>
          <w:lang w:val="en-US"/>
        </w:rPr>
        <w:t>上海市工业技术学校</w:t>
      </w:r>
    </w:p>
    <w:p w14:paraId="35D0181B">
      <w:pPr>
        <w:pStyle w:val="14"/>
        <w:keepNext w:val="0"/>
        <w:keepLines w:val="0"/>
        <w:pageBreakBefore w:val="0"/>
        <w:widowControl/>
        <w:numPr>
          <w:ilvl w:val="0"/>
          <w:numId w:val="3"/>
        </w:numPr>
        <w:kinsoku/>
        <w:wordWrap/>
        <w:overflowPunct/>
        <w:topLinePunct w:val="0"/>
        <w:autoSpaceDE/>
        <w:autoSpaceDN/>
        <w:bidi w:val="0"/>
        <w:adjustRightInd w:val="0"/>
        <w:snapToGrid w:val="0"/>
        <w:spacing w:after="0" w:line="440" w:lineRule="exact"/>
        <w:ind w:firstLineChars="0"/>
        <w:textAlignment w:val="auto"/>
        <w:outlineLvl w:val="0"/>
        <w:rPr>
          <w:rFonts w:hint="eastAsia" w:ascii="宋体" w:hAnsi="宋体" w:eastAsia="宋体" w:cs="宋体"/>
          <w:b/>
          <w:sz w:val="28"/>
          <w:szCs w:val="28"/>
        </w:rPr>
      </w:pPr>
      <w:r>
        <w:rPr>
          <w:rFonts w:hint="eastAsia" w:ascii="宋体" w:hAnsi="宋体" w:eastAsia="宋体" w:cs="宋体"/>
          <w:b/>
          <w:sz w:val="28"/>
          <w:szCs w:val="28"/>
        </w:rPr>
        <w:t>竞赛对象</w:t>
      </w:r>
    </w:p>
    <w:p w14:paraId="3E02A682">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社会从业人员、职业院校师生、社会培训机构学员。</w:t>
      </w:r>
    </w:p>
    <w:p w14:paraId="561CA5BB">
      <w:pPr>
        <w:pStyle w:val="14"/>
        <w:keepNext w:val="0"/>
        <w:keepLines w:val="0"/>
        <w:pageBreakBefore w:val="0"/>
        <w:widowControl/>
        <w:numPr>
          <w:ilvl w:val="0"/>
          <w:numId w:val="3"/>
        </w:numPr>
        <w:kinsoku/>
        <w:wordWrap/>
        <w:overflowPunct/>
        <w:topLinePunct w:val="0"/>
        <w:autoSpaceDE/>
        <w:autoSpaceDN/>
        <w:bidi w:val="0"/>
        <w:adjustRightInd w:val="0"/>
        <w:snapToGrid w:val="0"/>
        <w:spacing w:after="0" w:line="440" w:lineRule="exact"/>
        <w:ind w:firstLineChars="0"/>
        <w:textAlignment w:val="auto"/>
        <w:outlineLvl w:val="0"/>
        <w:rPr>
          <w:rFonts w:hint="eastAsia" w:ascii="宋体" w:hAnsi="宋体" w:eastAsia="宋体" w:cs="宋体"/>
          <w:b/>
          <w:sz w:val="28"/>
          <w:szCs w:val="28"/>
        </w:rPr>
      </w:pPr>
      <w:r>
        <w:rPr>
          <w:rFonts w:hint="eastAsia" w:ascii="宋体" w:hAnsi="宋体" w:eastAsia="宋体" w:cs="宋体"/>
          <w:b/>
          <w:sz w:val="28"/>
          <w:szCs w:val="28"/>
        </w:rPr>
        <w:t>报名办法</w:t>
      </w:r>
    </w:p>
    <w:p w14:paraId="12F0CD8C">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cs="宋体"/>
          <w:sz w:val="28"/>
          <w:szCs w:val="28"/>
          <w:lang w:val="en-US"/>
        </w:rPr>
      </w:pPr>
      <w:r>
        <w:rPr>
          <w:rFonts w:hint="eastAsia" w:ascii="宋体" w:hAnsi="宋体" w:eastAsia="宋体" w:cs="宋体"/>
          <w:sz w:val="28"/>
          <w:szCs w:val="28"/>
          <w:lang w:val="en-US"/>
        </w:rPr>
        <w:t>报名日期：2024年10月</w:t>
      </w:r>
      <w:r>
        <w:rPr>
          <w:rFonts w:hint="eastAsia" w:ascii="宋体" w:hAnsi="宋体" w:eastAsia="宋体" w:cs="宋体"/>
          <w:sz w:val="28"/>
          <w:szCs w:val="28"/>
          <w:lang w:val="en-US" w:eastAsia="zh-CN"/>
        </w:rPr>
        <w:t>1</w:t>
      </w:r>
      <w:r>
        <w:rPr>
          <w:rFonts w:hint="eastAsia" w:ascii="宋体" w:hAnsi="宋体" w:eastAsia="宋体" w:cs="宋体"/>
          <w:sz w:val="28"/>
          <w:szCs w:val="28"/>
          <w:lang w:val="en-US"/>
        </w:rPr>
        <w:t>5日前</w:t>
      </w:r>
    </w:p>
    <w:p w14:paraId="29570B25">
      <w:pPr>
        <w:pStyle w:val="2"/>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cs="宋体"/>
          <w:sz w:val="28"/>
          <w:szCs w:val="28"/>
          <w:lang w:val="en-US"/>
        </w:rPr>
      </w:pPr>
      <w:r>
        <w:rPr>
          <w:rFonts w:hint="eastAsia" w:ascii="宋体" w:hAnsi="宋体" w:eastAsia="宋体" w:cs="宋体"/>
          <w:sz w:val="28"/>
          <w:szCs w:val="28"/>
          <w:lang w:val="en-US"/>
        </w:rPr>
        <w:t>报名时填写“2024年第十二届上海市‘中华杯’职业技能竞赛报名表”（后将另发），可用电子邮件形式通过网上报名。报名邮箱地址：</w:t>
      </w:r>
      <w:bookmarkStart w:id="61" w:name="_GoBack"/>
      <w:r>
        <w:rPr>
          <w:rFonts w:hint="eastAsia" w:ascii="宋体" w:hAnsi="宋体" w:eastAsia="宋体" w:cs="宋体"/>
          <w:sz w:val="28"/>
          <w:szCs w:val="28"/>
          <w:lang w:val="en-US"/>
        </w:rPr>
        <w:t>gyjsbisaibaoming@126.com</w:t>
      </w:r>
    </w:p>
    <w:p w14:paraId="1302572D">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rPr>
        <w:t>联系人：赵丽君，联系电话（手机）：18521019781</w:t>
      </w:r>
    </w:p>
    <w:bookmarkEnd w:id="61"/>
    <w:p w14:paraId="2E0984C0">
      <w:pPr>
        <w:pStyle w:val="14"/>
        <w:keepNext w:val="0"/>
        <w:keepLines w:val="0"/>
        <w:pageBreakBefore w:val="0"/>
        <w:widowControl/>
        <w:numPr>
          <w:ilvl w:val="0"/>
          <w:numId w:val="3"/>
        </w:numPr>
        <w:kinsoku/>
        <w:wordWrap/>
        <w:overflowPunct/>
        <w:topLinePunct w:val="0"/>
        <w:autoSpaceDE/>
        <w:autoSpaceDN/>
        <w:bidi w:val="0"/>
        <w:adjustRightInd w:val="0"/>
        <w:snapToGrid w:val="0"/>
        <w:spacing w:after="0" w:line="440" w:lineRule="exact"/>
        <w:ind w:firstLineChars="0"/>
        <w:textAlignment w:val="auto"/>
        <w:outlineLvl w:val="0"/>
        <w:rPr>
          <w:rFonts w:hint="eastAsia" w:ascii="宋体" w:hAnsi="宋体" w:eastAsia="宋体" w:cs="宋体"/>
          <w:b/>
          <w:sz w:val="28"/>
          <w:szCs w:val="28"/>
        </w:rPr>
      </w:pPr>
      <w:r>
        <w:rPr>
          <w:rFonts w:hint="eastAsia" w:ascii="宋体" w:hAnsi="宋体" w:eastAsia="宋体" w:cs="宋体"/>
          <w:b/>
          <w:sz w:val="28"/>
          <w:szCs w:val="28"/>
        </w:rPr>
        <w:t>参赛规则</w:t>
      </w:r>
    </w:p>
    <w:p w14:paraId="3FF9DBF0">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exact"/>
        <w:ind w:firstLine="560" w:firstLineChars="200"/>
        <w:textAlignment w:val="auto"/>
        <w:outlineLvl w:val="0"/>
        <w:rPr>
          <w:rFonts w:hint="eastAsia" w:ascii="宋体" w:hAnsi="宋体" w:eastAsia="宋体" w:cs="宋体"/>
          <w:b/>
          <w:sz w:val="28"/>
          <w:szCs w:val="28"/>
        </w:rPr>
      </w:pPr>
      <w:r>
        <w:rPr>
          <w:rFonts w:hint="eastAsia" w:ascii="宋体" w:hAnsi="宋体" w:eastAsia="宋体" w:cs="宋体"/>
          <w:sz w:val="28"/>
          <w:szCs w:val="28"/>
        </w:rPr>
        <w:t>参赛规则本项目为</w:t>
      </w:r>
      <w:r>
        <w:rPr>
          <w:rFonts w:hint="eastAsia" w:ascii="宋体" w:hAnsi="宋体" w:eastAsia="宋体" w:cs="宋体"/>
          <w:sz w:val="28"/>
          <w:szCs w:val="28"/>
          <w:lang w:val="en-US"/>
        </w:rPr>
        <w:t>单人赛</w:t>
      </w:r>
      <w:r>
        <w:rPr>
          <w:rFonts w:hint="eastAsia" w:ascii="宋体" w:hAnsi="宋体" w:eastAsia="宋体" w:cs="宋体"/>
          <w:sz w:val="28"/>
          <w:szCs w:val="28"/>
        </w:rPr>
        <w:t>，可以是</w:t>
      </w:r>
      <w:r>
        <w:rPr>
          <w:rFonts w:hint="eastAsia" w:ascii="宋体" w:hAnsi="宋体" w:eastAsia="宋体" w:cs="宋体"/>
          <w:sz w:val="28"/>
          <w:szCs w:val="28"/>
          <w:lang w:val="en-US"/>
        </w:rPr>
        <w:t>1</w:t>
      </w:r>
      <w:r>
        <w:rPr>
          <w:rFonts w:hint="eastAsia" w:ascii="宋体" w:hAnsi="宋体" w:eastAsia="宋体" w:cs="宋体"/>
          <w:sz w:val="28"/>
          <w:szCs w:val="28"/>
        </w:rPr>
        <w:t>名学生，也可以</w:t>
      </w:r>
      <w:r>
        <w:rPr>
          <w:rFonts w:hint="eastAsia" w:ascii="宋体" w:hAnsi="宋体" w:eastAsia="宋体" w:cs="宋体"/>
          <w:sz w:val="28"/>
          <w:szCs w:val="28"/>
          <w:lang w:val="en-US"/>
        </w:rPr>
        <w:t>是</w:t>
      </w:r>
      <w:r>
        <w:rPr>
          <w:rFonts w:hint="eastAsia" w:ascii="宋体" w:hAnsi="宋体" w:eastAsia="宋体" w:cs="宋体"/>
          <w:sz w:val="28"/>
          <w:szCs w:val="28"/>
        </w:rPr>
        <w:t>1名教师。竞赛时长3小时。</w:t>
      </w:r>
    </w:p>
    <w:p w14:paraId="0B927056">
      <w:pPr>
        <w:keepNext w:val="0"/>
        <w:keepLines w:val="0"/>
        <w:pageBreakBefore w:val="0"/>
        <w:widowControl/>
        <w:kinsoku/>
        <w:wordWrap/>
        <w:overflowPunct/>
        <w:topLinePunct w:val="0"/>
        <w:autoSpaceDE/>
        <w:autoSpaceDN/>
        <w:bidi w:val="0"/>
        <w:adjustRightInd w:val="0"/>
        <w:snapToGrid w:val="0"/>
        <w:spacing w:after="0" w:line="440" w:lineRule="exact"/>
        <w:ind w:firstLine="482"/>
        <w:textAlignment w:val="auto"/>
        <w:rPr>
          <w:rFonts w:hint="eastAsia" w:ascii="宋体" w:hAnsi="宋体" w:eastAsia="宋体" w:cs="宋体"/>
          <w:sz w:val="28"/>
          <w:szCs w:val="28"/>
        </w:rPr>
      </w:pPr>
      <w:r>
        <w:rPr>
          <w:rFonts w:hint="eastAsia" w:ascii="宋体" w:hAnsi="宋体" w:eastAsia="宋体" w:cs="宋体"/>
          <w:sz w:val="28"/>
          <w:szCs w:val="28"/>
        </w:rPr>
        <w:t>本项目技术描述是对本竞赛项目内容的框架性描述，正式比赛内容及要求以竞赛当日公布的赛题为准。</w:t>
      </w:r>
    </w:p>
    <w:p w14:paraId="74FBCE61">
      <w:pPr>
        <w:keepNext w:val="0"/>
        <w:keepLines w:val="0"/>
        <w:pageBreakBefore w:val="0"/>
        <w:widowControl/>
        <w:kinsoku/>
        <w:wordWrap/>
        <w:overflowPunct/>
        <w:topLinePunct w:val="0"/>
        <w:autoSpaceDE/>
        <w:autoSpaceDN/>
        <w:bidi w:val="0"/>
        <w:adjustRightInd w:val="0"/>
        <w:snapToGrid w:val="0"/>
        <w:spacing w:after="0" w:line="440" w:lineRule="exact"/>
        <w:ind w:firstLine="482"/>
        <w:textAlignment w:val="auto"/>
        <w:rPr>
          <w:rFonts w:hint="eastAsia" w:ascii="宋体" w:hAnsi="宋体" w:eastAsia="宋体" w:cs="宋体"/>
          <w:sz w:val="28"/>
          <w:szCs w:val="28"/>
        </w:rPr>
      </w:pPr>
      <w:r>
        <w:rPr>
          <w:rFonts w:hint="eastAsia" w:ascii="宋体" w:hAnsi="宋体" w:eastAsia="宋体" w:cs="宋体"/>
          <w:sz w:val="28"/>
          <w:szCs w:val="28"/>
        </w:rPr>
        <w:t>本赛项设置了设备调试</w:t>
      </w:r>
      <w:r>
        <w:rPr>
          <w:rFonts w:hint="eastAsia" w:ascii="宋体" w:hAnsi="宋体" w:eastAsia="宋体" w:cs="宋体"/>
          <w:color w:val="000000"/>
          <w:sz w:val="28"/>
          <w:szCs w:val="28"/>
        </w:rPr>
        <w:t>、</w:t>
      </w:r>
      <w:r>
        <w:rPr>
          <w:rFonts w:hint="eastAsia" w:ascii="宋体" w:hAnsi="宋体" w:eastAsia="宋体" w:cs="宋体"/>
          <w:sz w:val="28"/>
          <w:szCs w:val="28"/>
        </w:rPr>
        <w:t>工业互联网平台网络通讯设置、工业互联网数据采集技术应用、边缘计算及数据可视化应用设计、工业互联网标识解析服务应用等典型工作任务。</w:t>
      </w:r>
    </w:p>
    <w:p w14:paraId="707C1A4E">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z w:val="28"/>
          <w:szCs w:val="28"/>
        </w:rPr>
      </w:pPr>
      <w:r>
        <w:rPr>
          <w:rFonts w:hint="eastAsia" w:ascii="宋体" w:hAnsi="宋体" w:eastAsia="宋体" w:cs="宋体"/>
          <w:sz w:val="28"/>
          <w:szCs w:val="28"/>
        </w:rPr>
        <w:t>典型工作任务除了职业素养5分以外，根据内容分A、B、C三个模块，A模块15分、B模块65分，C模块利用AIGC生成实施报告15分，进行成绩组合。</w:t>
      </w:r>
    </w:p>
    <w:p w14:paraId="4F04B109">
      <w:pPr>
        <w:keepNext w:val="0"/>
        <w:keepLines w:val="0"/>
        <w:pageBreakBefore w:val="0"/>
        <w:widowControl/>
        <w:kinsoku/>
        <w:wordWrap/>
        <w:overflowPunct/>
        <w:topLinePunct w:val="0"/>
        <w:autoSpaceDE/>
        <w:autoSpaceDN/>
        <w:bidi w:val="0"/>
        <w:adjustRightInd w:val="0"/>
        <w:snapToGrid w:val="0"/>
        <w:spacing w:after="0" w:line="440" w:lineRule="exact"/>
        <w:ind w:firstLine="482"/>
        <w:textAlignment w:val="auto"/>
        <w:outlineLvl w:val="1"/>
        <w:rPr>
          <w:rFonts w:hint="eastAsia" w:ascii="宋体" w:hAnsi="宋体" w:eastAsia="宋体" w:cs="宋体"/>
          <w:b/>
          <w:bCs/>
          <w:sz w:val="28"/>
          <w:szCs w:val="28"/>
        </w:rPr>
      </w:pPr>
      <w:r>
        <w:rPr>
          <w:rFonts w:hint="eastAsia" w:ascii="宋体" w:hAnsi="宋体" w:eastAsia="宋体" w:cs="宋体"/>
          <w:b/>
          <w:bCs/>
          <w:sz w:val="28"/>
          <w:szCs w:val="28"/>
        </w:rPr>
        <w:t>模块A：设备调试（15分）</w:t>
      </w:r>
    </w:p>
    <w:p w14:paraId="2423B66E">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z w:val="28"/>
          <w:szCs w:val="28"/>
        </w:rPr>
      </w:pPr>
      <w:r>
        <w:rPr>
          <w:rFonts w:hint="eastAsia" w:ascii="宋体" w:hAnsi="宋体" w:eastAsia="宋体" w:cs="宋体"/>
          <w:sz w:val="28"/>
          <w:szCs w:val="28"/>
        </w:rPr>
        <w:t>任务1：设备通信配置（5分）</w:t>
      </w:r>
    </w:p>
    <w:p w14:paraId="0E83E10A">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z w:val="28"/>
          <w:szCs w:val="28"/>
        </w:rPr>
      </w:pPr>
      <w:r>
        <w:rPr>
          <w:rFonts w:hint="eastAsia" w:ascii="宋体" w:hAnsi="宋体" w:eastAsia="宋体" w:cs="宋体"/>
          <w:sz w:val="28"/>
          <w:szCs w:val="28"/>
        </w:rPr>
        <w:t>参赛选手按工作任务书要求，完成设备通信配置，并完成与工业互联网通信调试。</w:t>
      </w:r>
    </w:p>
    <w:p w14:paraId="03038FF1">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z w:val="28"/>
          <w:szCs w:val="28"/>
        </w:rPr>
      </w:pPr>
      <w:r>
        <w:rPr>
          <w:rFonts w:hint="eastAsia" w:ascii="宋体" w:hAnsi="宋体" w:eastAsia="宋体" w:cs="宋体"/>
          <w:sz w:val="28"/>
          <w:szCs w:val="28"/>
        </w:rPr>
        <w:t>任务2：设备通道及点位配置（10分）</w:t>
      </w:r>
    </w:p>
    <w:p w14:paraId="26B35847">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z w:val="28"/>
          <w:szCs w:val="28"/>
        </w:rPr>
      </w:pPr>
      <w:r>
        <w:rPr>
          <w:rFonts w:hint="eastAsia" w:ascii="宋体" w:hAnsi="宋体" w:eastAsia="宋体" w:cs="宋体"/>
          <w:sz w:val="28"/>
          <w:szCs w:val="28"/>
        </w:rPr>
        <w:t>参赛选手按工作任务书要求，在设备上完成通道配置以及设备点位配置，保证可以智慧工厂生产数据。</w:t>
      </w:r>
    </w:p>
    <w:p w14:paraId="4D1B5073">
      <w:pPr>
        <w:keepNext w:val="0"/>
        <w:keepLines w:val="0"/>
        <w:pageBreakBefore w:val="0"/>
        <w:widowControl/>
        <w:kinsoku/>
        <w:wordWrap/>
        <w:overflowPunct/>
        <w:topLinePunct w:val="0"/>
        <w:autoSpaceDE/>
        <w:autoSpaceDN/>
        <w:bidi w:val="0"/>
        <w:adjustRightInd w:val="0"/>
        <w:snapToGrid w:val="0"/>
        <w:spacing w:after="0" w:line="440" w:lineRule="exact"/>
        <w:ind w:firstLine="482"/>
        <w:textAlignment w:val="auto"/>
        <w:rPr>
          <w:rFonts w:hint="eastAsia" w:ascii="宋体" w:hAnsi="宋体" w:eastAsia="宋体" w:cs="宋体"/>
          <w:b/>
          <w:bCs/>
          <w:sz w:val="28"/>
          <w:szCs w:val="28"/>
        </w:rPr>
      </w:pPr>
      <w:r>
        <w:rPr>
          <w:rFonts w:hint="eastAsia" w:ascii="宋体" w:hAnsi="宋体" w:eastAsia="宋体" w:cs="宋体"/>
          <w:b/>
          <w:bCs/>
          <w:sz w:val="28"/>
          <w:szCs w:val="28"/>
        </w:rPr>
        <w:t>模块B：工业互联网技术及应用开发（65分）</w:t>
      </w:r>
    </w:p>
    <w:p w14:paraId="5C13B8D6">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z w:val="28"/>
          <w:szCs w:val="28"/>
        </w:rPr>
      </w:pPr>
      <w:r>
        <w:rPr>
          <w:rFonts w:hint="eastAsia" w:ascii="宋体" w:hAnsi="宋体" w:eastAsia="宋体" w:cs="宋体"/>
          <w:sz w:val="28"/>
          <w:szCs w:val="28"/>
        </w:rPr>
        <w:t>任务1：工业互联网平台网络通讯设置（10分）</w:t>
      </w:r>
    </w:p>
    <w:p w14:paraId="19068488">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z w:val="28"/>
          <w:szCs w:val="28"/>
        </w:rPr>
      </w:pPr>
      <w:r>
        <w:rPr>
          <w:rFonts w:hint="eastAsia" w:ascii="宋体" w:hAnsi="宋体" w:eastAsia="宋体" w:cs="宋体"/>
          <w:sz w:val="28"/>
          <w:szCs w:val="28"/>
        </w:rPr>
        <w:t>参赛选手按工作任务书要求，在竞赛平台上完成工业数据上云通道配置及工业数据编解码配置。</w:t>
      </w:r>
    </w:p>
    <w:p w14:paraId="0B94B575">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z w:val="28"/>
          <w:szCs w:val="28"/>
        </w:rPr>
      </w:pPr>
      <w:r>
        <w:rPr>
          <w:rFonts w:hint="eastAsia" w:ascii="宋体" w:hAnsi="宋体" w:eastAsia="宋体" w:cs="宋体"/>
          <w:sz w:val="28"/>
          <w:szCs w:val="28"/>
        </w:rPr>
        <w:t>任务2：工业互联网数据采集技术应用（23分）</w:t>
      </w:r>
    </w:p>
    <w:p w14:paraId="4AA6E016">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z w:val="28"/>
          <w:szCs w:val="28"/>
        </w:rPr>
      </w:pPr>
      <w:r>
        <w:rPr>
          <w:rFonts w:hint="eastAsia" w:ascii="宋体" w:hAnsi="宋体" w:eastAsia="宋体" w:cs="宋体"/>
          <w:sz w:val="28"/>
          <w:szCs w:val="28"/>
        </w:rPr>
        <w:t>参赛选手安参赛选手按工作任务书要求，在竞赛平台上添加模型、设备，完成设备数字化建模，数据采集设备的运行与维护等工作任务。</w:t>
      </w:r>
    </w:p>
    <w:p w14:paraId="7B3A59A6">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z w:val="28"/>
          <w:szCs w:val="28"/>
        </w:rPr>
      </w:pPr>
      <w:r>
        <w:rPr>
          <w:rFonts w:hint="eastAsia" w:ascii="宋体" w:hAnsi="宋体" w:eastAsia="宋体" w:cs="宋体"/>
          <w:sz w:val="28"/>
          <w:szCs w:val="28"/>
        </w:rPr>
        <w:t>任务3：边缘计算及数据可视化应用设计施（20分）</w:t>
      </w:r>
    </w:p>
    <w:p w14:paraId="55E6FFEF">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z w:val="28"/>
          <w:szCs w:val="28"/>
        </w:rPr>
      </w:pPr>
      <w:r>
        <w:rPr>
          <w:rFonts w:hint="eastAsia" w:ascii="宋体" w:hAnsi="宋体" w:eastAsia="宋体" w:cs="宋体"/>
          <w:sz w:val="28"/>
          <w:szCs w:val="28"/>
        </w:rPr>
        <w:t>参赛选手按工作任务书要求，在竞赛平台上完成数据边缘计算、智慧工厂设备生产数据处理和分析、生产监控等可视化设计页面设计等工作任务。</w:t>
      </w:r>
    </w:p>
    <w:p w14:paraId="7B1F0473">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z w:val="28"/>
          <w:szCs w:val="28"/>
        </w:rPr>
      </w:pPr>
      <w:r>
        <w:rPr>
          <w:rFonts w:hint="eastAsia" w:ascii="宋体" w:hAnsi="宋体" w:eastAsia="宋体" w:cs="宋体"/>
          <w:sz w:val="28"/>
          <w:szCs w:val="28"/>
        </w:rPr>
        <w:t>任务4：工业互联网标识解析服务应用（12分）</w:t>
      </w:r>
    </w:p>
    <w:p w14:paraId="699B9F03">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z w:val="28"/>
          <w:szCs w:val="28"/>
        </w:rPr>
      </w:pPr>
      <w:r>
        <w:rPr>
          <w:rFonts w:hint="eastAsia" w:ascii="宋体" w:hAnsi="宋体" w:eastAsia="宋体" w:cs="宋体"/>
          <w:sz w:val="28"/>
          <w:szCs w:val="28"/>
        </w:rPr>
        <w:t>参赛选手按工作任务书要求，在竞赛平台上完成报警标识定义、标识解析、标识应用等工作任务。</w:t>
      </w:r>
    </w:p>
    <w:p w14:paraId="457BBD67">
      <w:pPr>
        <w:keepNext w:val="0"/>
        <w:keepLines w:val="0"/>
        <w:pageBreakBefore w:val="0"/>
        <w:widowControl/>
        <w:kinsoku/>
        <w:wordWrap/>
        <w:overflowPunct/>
        <w:topLinePunct w:val="0"/>
        <w:autoSpaceDE/>
        <w:autoSpaceDN/>
        <w:bidi w:val="0"/>
        <w:adjustRightInd w:val="0"/>
        <w:snapToGrid w:val="0"/>
        <w:spacing w:after="0" w:line="440" w:lineRule="exact"/>
        <w:ind w:firstLine="482"/>
        <w:textAlignment w:val="auto"/>
        <w:rPr>
          <w:rFonts w:hint="eastAsia" w:ascii="宋体" w:hAnsi="宋体" w:eastAsia="宋体" w:cs="宋体"/>
          <w:b/>
          <w:bCs/>
          <w:sz w:val="28"/>
          <w:szCs w:val="28"/>
        </w:rPr>
      </w:pPr>
      <w:r>
        <w:rPr>
          <w:rFonts w:hint="eastAsia" w:ascii="宋体" w:hAnsi="宋体" w:eastAsia="宋体" w:cs="宋体"/>
          <w:b/>
          <w:bCs/>
          <w:sz w:val="28"/>
          <w:szCs w:val="28"/>
        </w:rPr>
        <w:t>模块C：利用AIGC完成实施报告（15分）</w:t>
      </w:r>
    </w:p>
    <w:p w14:paraId="32DA93BC">
      <w:pPr>
        <w:pStyle w:val="14"/>
        <w:keepNext w:val="0"/>
        <w:keepLines w:val="0"/>
        <w:pageBreakBefore w:val="0"/>
        <w:widowControl/>
        <w:numPr>
          <w:ilvl w:val="0"/>
          <w:numId w:val="3"/>
        </w:numPr>
        <w:kinsoku/>
        <w:wordWrap/>
        <w:overflowPunct/>
        <w:topLinePunct w:val="0"/>
        <w:autoSpaceDE/>
        <w:autoSpaceDN/>
        <w:bidi w:val="0"/>
        <w:adjustRightInd w:val="0"/>
        <w:snapToGrid w:val="0"/>
        <w:spacing w:after="0" w:line="440" w:lineRule="exact"/>
        <w:ind w:firstLineChars="0"/>
        <w:textAlignment w:val="auto"/>
        <w:outlineLvl w:val="0"/>
        <w:rPr>
          <w:rFonts w:hint="eastAsia" w:ascii="宋体" w:hAnsi="宋体" w:eastAsia="宋体" w:cs="宋体"/>
          <w:b/>
          <w:sz w:val="28"/>
          <w:szCs w:val="28"/>
        </w:rPr>
      </w:pPr>
      <w:r>
        <w:rPr>
          <w:rFonts w:hint="eastAsia" w:ascii="宋体" w:hAnsi="宋体" w:eastAsia="宋体" w:cs="宋体"/>
          <w:b/>
          <w:sz w:val="28"/>
          <w:szCs w:val="28"/>
        </w:rPr>
        <w:t>竞赛内容</w:t>
      </w:r>
    </w:p>
    <w:p w14:paraId="6B2DFFD6">
      <w:pPr>
        <w:keepNext w:val="0"/>
        <w:keepLines w:val="0"/>
        <w:pageBreakBefore w:val="0"/>
        <w:widowControl/>
        <w:kinsoku/>
        <w:wordWrap/>
        <w:overflowPunct/>
        <w:topLinePunct w:val="0"/>
        <w:autoSpaceDE/>
        <w:autoSpaceDN/>
        <w:bidi w:val="0"/>
        <w:adjustRightInd w:val="0"/>
        <w:snapToGrid w:val="0"/>
        <w:spacing w:after="0" w:line="440" w:lineRule="exact"/>
        <w:textAlignment w:val="auto"/>
        <w:outlineLvl w:val="1"/>
        <w:rPr>
          <w:rFonts w:hint="eastAsia" w:ascii="宋体" w:hAnsi="宋体" w:eastAsia="宋体" w:cs="宋体"/>
          <w:sz w:val="28"/>
          <w:szCs w:val="28"/>
        </w:rPr>
      </w:pPr>
      <w:bookmarkStart w:id="0" w:name="_Toc27594"/>
      <w:bookmarkStart w:id="1" w:name="_Toc1777828687"/>
      <w:r>
        <w:rPr>
          <w:rFonts w:hint="eastAsia" w:ascii="宋体" w:hAnsi="宋体" w:eastAsia="宋体" w:cs="宋体"/>
          <w:sz w:val="28"/>
          <w:szCs w:val="28"/>
        </w:rPr>
        <w:t>1.项目简介</w:t>
      </w:r>
      <w:bookmarkEnd w:id="0"/>
      <w:bookmarkEnd w:id="1"/>
    </w:p>
    <w:p w14:paraId="1A01FA24">
      <w:pPr>
        <w:keepNext w:val="0"/>
        <w:keepLines w:val="0"/>
        <w:pageBreakBefore w:val="0"/>
        <w:widowControl/>
        <w:kinsoku/>
        <w:wordWrap/>
        <w:overflowPunct/>
        <w:topLinePunct w:val="0"/>
        <w:autoSpaceDE/>
        <w:autoSpaceDN/>
        <w:bidi w:val="0"/>
        <w:adjustRightInd w:val="0"/>
        <w:snapToGrid w:val="0"/>
        <w:spacing w:after="0" w:line="440" w:lineRule="exact"/>
        <w:textAlignment w:val="auto"/>
        <w:outlineLvl w:val="2"/>
        <w:rPr>
          <w:rFonts w:hint="eastAsia" w:ascii="宋体" w:hAnsi="宋体" w:eastAsia="宋体" w:cs="宋体"/>
          <w:sz w:val="28"/>
          <w:szCs w:val="28"/>
        </w:rPr>
      </w:pPr>
      <w:bookmarkStart w:id="2" w:name="_Toc326344953"/>
      <w:bookmarkStart w:id="3" w:name="_Toc481312693"/>
      <w:bookmarkStart w:id="4" w:name="_Toc2026761698"/>
      <w:bookmarkStart w:id="5" w:name="_Toc481313996"/>
      <w:bookmarkStart w:id="6" w:name="_Toc2268"/>
      <w:r>
        <w:rPr>
          <w:rFonts w:hint="eastAsia" w:ascii="宋体" w:hAnsi="宋体" w:eastAsia="宋体" w:cs="宋体"/>
          <w:sz w:val="28"/>
          <w:szCs w:val="28"/>
        </w:rPr>
        <w:t>1.1</w:t>
      </w:r>
      <w:bookmarkEnd w:id="2"/>
      <w:r>
        <w:rPr>
          <w:rFonts w:hint="eastAsia" w:ascii="宋体" w:hAnsi="宋体" w:eastAsia="宋体" w:cs="宋体"/>
          <w:sz w:val="28"/>
          <w:szCs w:val="28"/>
        </w:rPr>
        <w:t>项目描述</w:t>
      </w:r>
      <w:bookmarkEnd w:id="3"/>
      <w:bookmarkEnd w:id="4"/>
      <w:bookmarkEnd w:id="5"/>
      <w:bookmarkEnd w:id="6"/>
    </w:p>
    <w:p w14:paraId="2BF049D1">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z w:val="28"/>
          <w:szCs w:val="28"/>
        </w:rPr>
      </w:pPr>
      <w:r>
        <w:rPr>
          <w:rFonts w:hint="eastAsia" w:ascii="宋体" w:hAnsi="宋体" w:eastAsia="宋体" w:cs="宋体"/>
          <w:sz w:val="28"/>
          <w:szCs w:val="28"/>
        </w:rPr>
        <w:t>本项目主要是根据企业对工业互联网规划设计、技术研发、测试验证、工程实施、运营管理和运维服务等岗位能力要求为基础，参照相关国家和行业职业技能标准，包含网络互联集成、工业设备数据采集、工业标识数据采集、设备装调、系统应用开发（边缘计算、工业APP）、工业互联网平台应用支持、工业互联网规划设计等工作内容。要求参赛选手要有很好的工作组织、自我管理能力；具有一定的学习和分析能力；具有工业互联网工程规划设计、工程实施、运行维护、数据服务、服务应用的能力。</w:t>
      </w:r>
    </w:p>
    <w:p w14:paraId="015FFC40">
      <w:pPr>
        <w:keepNext w:val="0"/>
        <w:keepLines w:val="0"/>
        <w:pageBreakBefore w:val="0"/>
        <w:widowControl/>
        <w:kinsoku/>
        <w:wordWrap/>
        <w:overflowPunct/>
        <w:topLinePunct w:val="0"/>
        <w:autoSpaceDE/>
        <w:autoSpaceDN/>
        <w:bidi w:val="0"/>
        <w:adjustRightInd w:val="0"/>
        <w:snapToGrid w:val="0"/>
        <w:spacing w:after="0" w:line="440" w:lineRule="exact"/>
        <w:textAlignment w:val="auto"/>
        <w:outlineLvl w:val="2"/>
        <w:rPr>
          <w:rFonts w:hint="eastAsia" w:ascii="宋体" w:hAnsi="宋体" w:eastAsia="宋体" w:cs="宋体"/>
          <w:sz w:val="28"/>
          <w:szCs w:val="28"/>
        </w:rPr>
      </w:pPr>
      <w:bookmarkStart w:id="7" w:name="_Toc24644"/>
      <w:bookmarkStart w:id="8" w:name="_Toc398249572"/>
      <w:bookmarkStart w:id="9" w:name="_Toc481313997"/>
      <w:r>
        <w:rPr>
          <w:rFonts w:hint="eastAsia" w:ascii="宋体" w:hAnsi="宋体" w:eastAsia="宋体" w:cs="宋体"/>
          <w:sz w:val="28"/>
          <w:szCs w:val="28"/>
        </w:rPr>
        <w:t>1.2竞赛目的</w:t>
      </w:r>
      <w:bookmarkEnd w:id="7"/>
      <w:bookmarkEnd w:id="8"/>
      <w:bookmarkEnd w:id="9"/>
    </w:p>
    <w:p w14:paraId="034E815E">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z w:val="28"/>
          <w:szCs w:val="28"/>
        </w:rPr>
      </w:pPr>
      <w:r>
        <w:rPr>
          <w:rFonts w:hint="eastAsia" w:ascii="宋体" w:hAnsi="宋体" w:eastAsia="宋体" w:cs="宋体"/>
          <w:sz w:val="28"/>
          <w:szCs w:val="28"/>
        </w:rPr>
        <w:t>为进一步发挥以赛促教、以赛促学、以赛促改作用，旨在达成以下目标：</w:t>
      </w:r>
    </w:p>
    <w:p w14:paraId="337013E2">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z w:val="28"/>
          <w:szCs w:val="28"/>
        </w:rPr>
      </w:pPr>
      <w:r>
        <w:rPr>
          <w:rFonts w:hint="eastAsia" w:ascii="宋体" w:hAnsi="宋体" w:eastAsia="宋体" w:cs="宋体"/>
          <w:sz w:val="28"/>
          <w:szCs w:val="28"/>
        </w:rPr>
        <w:t>一是培养选拔紧缺人才。竞赛紧密对接工业互联网行业标准、专业教学标准、职业技能等级标准，着力推动具备精湛实践能力、创新能力、工匠精神的高质量、复合型职业技术人才培养；</w:t>
      </w:r>
    </w:p>
    <w:p w14:paraId="2314DDEE">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z w:val="28"/>
          <w:szCs w:val="28"/>
        </w:rPr>
      </w:pPr>
      <w:r>
        <w:rPr>
          <w:rFonts w:hint="eastAsia" w:ascii="宋体" w:hAnsi="宋体" w:eastAsia="宋体" w:cs="宋体"/>
          <w:sz w:val="28"/>
          <w:szCs w:val="28"/>
        </w:rPr>
        <w:t>二是深化工业互联网技术等专业“三教”改革。引导各高职院校借鉴大赛内容开展教学改造，推动工业互联网相关专业“岗课赛证”融通发展，促进产教融合、校企合作；</w:t>
      </w:r>
    </w:p>
    <w:p w14:paraId="0FFCD7DA">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z w:val="28"/>
          <w:szCs w:val="28"/>
        </w:rPr>
      </w:pPr>
      <w:r>
        <w:rPr>
          <w:rFonts w:hint="eastAsia" w:ascii="宋体" w:hAnsi="宋体" w:eastAsia="宋体" w:cs="宋体"/>
          <w:sz w:val="28"/>
          <w:szCs w:val="28"/>
        </w:rPr>
        <w:t>三是推动工业互联网产业发展。加速工业互联网人才培养，提高职业院校的产业贡献率和社会吸引力，为推进新型工业化，加快建设制造强国和网络强国，推动经济高质量发展和构建新发展格局做出贡献。</w:t>
      </w:r>
    </w:p>
    <w:p w14:paraId="1ECB3BA6">
      <w:pPr>
        <w:keepNext w:val="0"/>
        <w:keepLines w:val="0"/>
        <w:pageBreakBefore w:val="0"/>
        <w:widowControl/>
        <w:kinsoku/>
        <w:wordWrap/>
        <w:overflowPunct/>
        <w:topLinePunct w:val="0"/>
        <w:autoSpaceDE/>
        <w:autoSpaceDN/>
        <w:bidi w:val="0"/>
        <w:adjustRightInd w:val="0"/>
        <w:snapToGrid w:val="0"/>
        <w:spacing w:after="0" w:line="440" w:lineRule="exact"/>
        <w:textAlignment w:val="auto"/>
        <w:outlineLvl w:val="2"/>
        <w:rPr>
          <w:rFonts w:hint="eastAsia" w:ascii="宋体" w:hAnsi="宋体" w:eastAsia="宋体" w:cs="宋体"/>
          <w:sz w:val="28"/>
          <w:szCs w:val="28"/>
        </w:rPr>
      </w:pPr>
      <w:bookmarkStart w:id="10" w:name="_Toc1821512552"/>
      <w:bookmarkStart w:id="11" w:name="_Toc481313998"/>
      <w:bookmarkStart w:id="12" w:name="_Toc13927"/>
      <w:r>
        <w:rPr>
          <w:rFonts w:hint="eastAsia" w:ascii="宋体" w:hAnsi="宋体" w:eastAsia="宋体" w:cs="宋体"/>
          <w:sz w:val="28"/>
          <w:szCs w:val="28"/>
        </w:rPr>
        <w:t>1.3 相关文件</w:t>
      </w:r>
      <w:bookmarkEnd w:id="10"/>
      <w:bookmarkEnd w:id="11"/>
      <w:bookmarkEnd w:id="12"/>
    </w:p>
    <w:p w14:paraId="7E996C64">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napToGrid w:val="0"/>
          <w:sz w:val="28"/>
          <w:szCs w:val="28"/>
        </w:rPr>
      </w:pPr>
      <w:r>
        <w:rPr>
          <w:rFonts w:hint="eastAsia" w:ascii="宋体" w:hAnsi="宋体" w:eastAsia="宋体" w:cs="宋体"/>
          <w:snapToGrid w:val="0"/>
          <w:sz w:val="28"/>
          <w:szCs w:val="28"/>
        </w:rPr>
        <w:t>本项目技术工作文件只包含项目技术工作的相关信息。除阅读本文件外，开展本技能项目竞赛还需配合其他相关文件一同使用：</w:t>
      </w:r>
    </w:p>
    <w:p w14:paraId="5D05EDF6">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napToGrid w:val="0"/>
          <w:sz w:val="28"/>
          <w:szCs w:val="28"/>
        </w:rPr>
      </w:pPr>
      <w:r>
        <w:rPr>
          <w:rFonts w:hint="eastAsia" w:ascii="宋体" w:hAnsi="宋体" w:eastAsia="宋体" w:cs="宋体"/>
          <w:snapToGrid w:val="0"/>
          <w:sz w:val="28"/>
          <w:szCs w:val="28"/>
        </w:rPr>
        <w:t>《工业互联网集成应用平台使用手册》；</w:t>
      </w:r>
    </w:p>
    <w:p w14:paraId="44F16055">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napToGrid w:val="0"/>
          <w:sz w:val="28"/>
          <w:szCs w:val="28"/>
        </w:rPr>
      </w:pPr>
      <w:r>
        <w:rPr>
          <w:rFonts w:hint="eastAsia" w:ascii="宋体" w:hAnsi="宋体" w:eastAsia="宋体" w:cs="宋体"/>
          <w:snapToGrid w:val="0"/>
          <w:sz w:val="28"/>
          <w:szCs w:val="28"/>
        </w:rPr>
        <w:t>《工业互联网集成应用平台竞赛试题样题》；</w:t>
      </w:r>
    </w:p>
    <w:p w14:paraId="445FDC0A">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napToGrid w:val="0"/>
          <w:sz w:val="28"/>
          <w:szCs w:val="28"/>
        </w:rPr>
      </w:pPr>
      <w:r>
        <w:rPr>
          <w:rFonts w:hint="eastAsia" w:ascii="宋体" w:hAnsi="宋体" w:eastAsia="宋体" w:cs="宋体"/>
          <w:snapToGrid w:val="0"/>
          <w:sz w:val="28"/>
          <w:szCs w:val="28"/>
        </w:rPr>
        <w:t>《工业互联网集成应用平台设备图纸》；</w:t>
      </w:r>
    </w:p>
    <w:p w14:paraId="2E10169F">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napToGrid w:val="0"/>
          <w:sz w:val="28"/>
          <w:szCs w:val="28"/>
        </w:rPr>
      </w:pPr>
      <w:r>
        <w:rPr>
          <w:rFonts w:hint="eastAsia" w:ascii="宋体" w:hAnsi="宋体" w:eastAsia="宋体" w:cs="宋体"/>
          <w:snapToGrid w:val="0"/>
          <w:sz w:val="28"/>
          <w:szCs w:val="28"/>
        </w:rPr>
        <w:t>《工业互联网集成应用平台竞赛指导手册》；</w:t>
      </w:r>
    </w:p>
    <w:p w14:paraId="25AA97F0">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napToGrid w:val="0"/>
          <w:sz w:val="28"/>
          <w:szCs w:val="28"/>
        </w:rPr>
      </w:pPr>
      <w:r>
        <w:rPr>
          <w:rFonts w:hint="eastAsia" w:ascii="宋体" w:hAnsi="宋体" w:eastAsia="宋体" w:cs="宋体"/>
          <w:snapToGrid w:val="0"/>
          <w:sz w:val="28"/>
          <w:szCs w:val="28"/>
        </w:rPr>
        <w:t>相关标准：</w:t>
      </w:r>
    </w:p>
    <w:p w14:paraId="43DC237A">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napToGrid w:val="0"/>
          <w:sz w:val="28"/>
          <w:szCs w:val="28"/>
        </w:rPr>
      </w:pPr>
      <w:r>
        <w:rPr>
          <w:rFonts w:hint="eastAsia" w:ascii="宋体" w:hAnsi="宋体" w:eastAsia="宋体" w:cs="宋体"/>
          <w:snapToGrid w:val="0"/>
          <w:sz w:val="28"/>
          <w:szCs w:val="28"/>
        </w:rPr>
        <w:t>《信息安全技术信息系统安全运维管理指南》GB/T 36626-2018</w:t>
      </w:r>
    </w:p>
    <w:p w14:paraId="3DBD5D5F">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napToGrid w:val="0"/>
          <w:sz w:val="28"/>
          <w:szCs w:val="28"/>
        </w:rPr>
      </w:pPr>
      <w:r>
        <w:rPr>
          <w:rFonts w:hint="eastAsia" w:ascii="宋体" w:hAnsi="宋体" w:eastAsia="宋体" w:cs="宋体"/>
          <w:snapToGrid w:val="0"/>
          <w:sz w:val="28"/>
          <w:szCs w:val="28"/>
        </w:rPr>
        <w:t>《工业互联网产业人才岗位能力要求》T/MIITEC 003-2020</w:t>
      </w:r>
    </w:p>
    <w:p w14:paraId="3662F286">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napToGrid w:val="0"/>
          <w:sz w:val="28"/>
          <w:szCs w:val="28"/>
        </w:rPr>
      </w:pPr>
      <w:r>
        <w:rPr>
          <w:rFonts w:hint="eastAsia" w:ascii="宋体" w:hAnsi="宋体" w:eastAsia="宋体" w:cs="宋体"/>
          <w:snapToGrid w:val="0"/>
          <w:sz w:val="28"/>
          <w:szCs w:val="28"/>
        </w:rPr>
        <w:t>《工业互联网通用要求》AII/001-2017</w:t>
      </w:r>
    </w:p>
    <w:p w14:paraId="569AEBFF">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napToGrid w:val="0"/>
          <w:sz w:val="28"/>
          <w:szCs w:val="28"/>
        </w:rPr>
      </w:pPr>
      <w:r>
        <w:rPr>
          <w:rFonts w:hint="eastAsia" w:ascii="宋体" w:hAnsi="宋体" w:eastAsia="宋体" w:cs="宋体"/>
          <w:snapToGrid w:val="0"/>
          <w:sz w:val="28"/>
          <w:szCs w:val="28"/>
        </w:rPr>
        <w:t>《工业互联网导则设备智能化》AII/001-2017</w:t>
      </w:r>
    </w:p>
    <w:p w14:paraId="383611A6">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napToGrid w:val="0"/>
          <w:sz w:val="28"/>
          <w:szCs w:val="28"/>
        </w:rPr>
      </w:pPr>
      <w:r>
        <w:rPr>
          <w:rFonts w:hint="eastAsia" w:ascii="宋体" w:hAnsi="宋体" w:eastAsia="宋体" w:cs="宋体"/>
          <w:snapToGrid w:val="0"/>
          <w:sz w:val="28"/>
          <w:szCs w:val="28"/>
        </w:rPr>
        <w:t>《工业自动化和控制系统网络安全可编程序控制器（PLC）第1部分：系统要求》GB/T 33008.1-2016</w:t>
      </w:r>
    </w:p>
    <w:p w14:paraId="52006758">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cs="宋体"/>
          <w:sz w:val="28"/>
          <w:szCs w:val="28"/>
        </w:rPr>
      </w:pPr>
      <w:bookmarkStart w:id="13" w:name="_Toc481313999"/>
      <w:bookmarkStart w:id="14" w:name="_Toc1782073479"/>
      <w:bookmarkStart w:id="15" w:name="_Toc9819"/>
      <w:r>
        <w:rPr>
          <w:rFonts w:hint="eastAsia" w:ascii="宋体" w:hAnsi="宋体" w:eastAsia="宋体" w:cs="宋体"/>
          <w:sz w:val="28"/>
          <w:szCs w:val="28"/>
        </w:rPr>
        <w:t>2.选手应具备的能力</w:t>
      </w:r>
      <w:bookmarkEnd w:id="13"/>
      <w:bookmarkEnd w:id="14"/>
      <w:bookmarkEnd w:id="15"/>
    </w:p>
    <w:tbl>
      <w:tblPr>
        <w:tblStyle w:val="12"/>
        <w:tblW w:w="8222" w:type="dxa"/>
        <w:tblInd w:w="108" w:type="dxa"/>
        <w:tblBorders>
          <w:top w:val="single" w:color="auto" w:sz="18" w:space="0"/>
          <w:left w:val="none" w:color="auto" w:sz="0" w:space="0"/>
          <w:bottom w:val="single" w:color="auto" w:sz="18"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8222"/>
      </w:tblGrid>
      <w:tr w14:paraId="41504523">
        <w:tblPrEx>
          <w:tblBorders>
            <w:top w:val="single" w:color="auto" w:sz="18" w:space="0"/>
            <w:left w:val="none" w:color="auto" w:sz="0" w:space="0"/>
            <w:bottom w:val="single" w:color="auto" w:sz="18"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22" w:type="dxa"/>
            <w:vAlign w:val="center"/>
          </w:tcPr>
          <w:p w14:paraId="61A344E2">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b/>
                <w:sz w:val="28"/>
                <w:szCs w:val="28"/>
              </w:rPr>
            </w:pPr>
            <w:bookmarkStart w:id="16" w:name="_Toc481314000"/>
            <w:r>
              <w:rPr>
                <w:rFonts w:hint="eastAsia" w:ascii="宋体" w:hAnsi="宋体" w:eastAsia="宋体" w:cs="宋体"/>
                <w:b/>
                <w:sz w:val="28"/>
                <w:szCs w:val="28"/>
              </w:rPr>
              <w:t>能力描述</w:t>
            </w:r>
          </w:p>
        </w:tc>
      </w:tr>
      <w:tr w14:paraId="528B8A87">
        <w:tblPrEx>
          <w:tblBorders>
            <w:top w:val="single" w:color="auto" w:sz="18" w:space="0"/>
            <w:left w:val="none" w:color="auto" w:sz="0" w:space="0"/>
            <w:bottom w:val="single" w:color="auto" w:sz="18"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22" w:type="dxa"/>
            <w:vAlign w:val="center"/>
          </w:tcPr>
          <w:p w14:paraId="5061BF85">
            <w:pPr>
              <w:keepNext w:val="0"/>
              <w:keepLines w:val="0"/>
              <w:pageBreakBefore w:val="0"/>
              <w:widowControl/>
              <w:kinsoku/>
              <w:wordWrap/>
              <w:overflowPunct/>
              <w:topLinePunct w:val="0"/>
              <w:autoSpaceDE/>
              <w:autoSpaceDN/>
              <w:bidi w:val="0"/>
              <w:adjustRightInd w:val="0"/>
              <w:snapToGrid w:val="0"/>
              <w:spacing w:after="0" w:line="440" w:lineRule="exact"/>
              <w:ind w:left="220" w:leftChars="100"/>
              <w:textAlignment w:val="auto"/>
              <w:rPr>
                <w:rFonts w:hint="eastAsia" w:ascii="宋体" w:hAnsi="宋体" w:eastAsia="宋体" w:cs="宋体"/>
                <w:sz w:val="28"/>
                <w:szCs w:val="28"/>
              </w:rPr>
            </w:pPr>
            <w:r>
              <w:rPr>
                <w:rFonts w:hint="eastAsia" w:ascii="宋体" w:hAnsi="宋体" w:eastAsia="宋体" w:cs="宋体"/>
                <w:sz w:val="28"/>
                <w:szCs w:val="28"/>
              </w:rPr>
              <w:t>个人需要知道和理解：</w:t>
            </w:r>
          </w:p>
          <w:p w14:paraId="5115E8E2">
            <w:pPr>
              <w:pStyle w:val="14"/>
              <w:keepNext w:val="0"/>
              <w:keepLines w:val="0"/>
              <w:pageBreakBefore w:val="0"/>
              <w:widowControl/>
              <w:numPr>
                <w:ilvl w:val="0"/>
                <w:numId w:val="4"/>
              </w:numPr>
              <w:kinsoku/>
              <w:wordWrap/>
              <w:overflowPunct/>
              <w:topLinePunct w:val="0"/>
              <w:autoSpaceDE/>
              <w:autoSpaceDN/>
              <w:bidi w:val="0"/>
              <w:adjustRightInd w:val="0"/>
              <w:snapToGrid w:val="0"/>
              <w:spacing w:after="0" w:line="440" w:lineRule="exact"/>
              <w:ind w:left="420" w:firstLineChars="0"/>
              <w:textAlignment w:val="auto"/>
              <w:rPr>
                <w:rFonts w:hint="eastAsia" w:ascii="宋体" w:hAnsi="宋体" w:eastAsia="宋体" w:cs="宋体"/>
                <w:sz w:val="28"/>
                <w:szCs w:val="28"/>
              </w:rPr>
            </w:pPr>
            <w:r>
              <w:rPr>
                <w:rFonts w:hint="eastAsia" w:ascii="宋体" w:hAnsi="宋体" w:eastAsia="宋体" w:cs="宋体"/>
                <w:sz w:val="28"/>
                <w:szCs w:val="28"/>
              </w:rPr>
              <w:t>工业互联网基础知识和体系架构。</w:t>
            </w:r>
          </w:p>
          <w:p w14:paraId="4C35275D">
            <w:pPr>
              <w:pStyle w:val="14"/>
              <w:keepNext w:val="0"/>
              <w:keepLines w:val="0"/>
              <w:pageBreakBefore w:val="0"/>
              <w:widowControl/>
              <w:numPr>
                <w:ilvl w:val="0"/>
                <w:numId w:val="4"/>
              </w:numPr>
              <w:kinsoku/>
              <w:wordWrap/>
              <w:overflowPunct/>
              <w:topLinePunct w:val="0"/>
              <w:autoSpaceDE/>
              <w:autoSpaceDN/>
              <w:bidi w:val="0"/>
              <w:adjustRightInd w:val="0"/>
              <w:snapToGrid w:val="0"/>
              <w:spacing w:after="0" w:line="440" w:lineRule="exact"/>
              <w:ind w:left="420" w:firstLineChars="0"/>
              <w:textAlignment w:val="auto"/>
              <w:rPr>
                <w:rFonts w:hint="eastAsia" w:ascii="宋体" w:hAnsi="宋体" w:eastAsia="宋体" w:cs="宋体"/>
                <w:sz w:val="28"/>
                <w:szCs w:val="28"/>
              </w:rPr>
            </w:pPr>
            <w:r>
              <w:rPr>
                <w:rFonts w:hint="eastAsia" w:ascii="宋体" w:hAnsi="宋体" w:eastAsia="宋体" w:cs="宋体"/>
                <w:sz w:val="28"/>
                <w:szCs w:val="28"/>
              </w:rPr>
              <w:t>工业互联网网络架构。</w:t>
            </w:r>
          </w:p>
          <w:p w14:paraId="4C7A835D">
            <w:pPr>
              <w:pStyle w:val="14"/>
              <w:keepNext w:val="0"/>
              <w:keepLines w:val="0"/>
              <w:pageBreakBefore w:val="0"/>
              <w:widowControl/>
              <w:numPr>
                <w:ilvl w:val="0"/>
                <w:numId w:val="4"/>
              </w:numPr>
              <w:kinsoku/>
              <w:wordWrap/>
              <w:overflowPunct/>
              <w:topLinePunct w:val="0"/>
              <w:autoSpaceDE/>
              <w:autoSpaceDN/>
              <w:bidi w:val="0"/>
              <w:adjustRightInd w:val="0"/>
              <w:snapToGrid w:val="0"/>
              <w:spacing w:after="0" w:line="440" w:lineRule="exact"/>
              <w:ind w:left="420" w:firstLineChars="0"/>
              <w:textAlignment w:val="auto"/>
              <w:rPr>
                <w:rFonts w:hint="eastAsia" w:ascii="宋体" w:hAnsi="宋体" w:eastAsia="宋体" w:cs="宋体"/>
                <w:sz w:val="28"/>
                <w:szCs w:val="28"/>
              </w:rPr>
            </w:pPr>
            <w:r>
              <w:rPr>
                <w:rFonts w:hint="eastAsia" w:ascii="宋体" w:hAnsi="宋体" w:eastAsia="宋体" w:cs="宋体"/>
                <w:sz w:val="28"/>
                <w:szCs w:val="28"/>
              </w:rPr>
              <w:t>工业互联网平台架构及体系。</w:t>
            </w:r>
          </w:p>
          <w:p w14:paraId="554D4A85">
            <w:pPr>
              <w:pStyle w:val="14"/>
              <w:keepNext w:val="0"/>
              <w:keepLines w:val="0"/>
              <w:pageBreakBefore w:val="0"/>
              <w:widowControl/>
              <w:numPr>
                <w:ilvl w:val="0"/>
                <w:numId w:val="4"/>
              </w:numPr>
              <w:kinsoku/>
              <w:wordWrap/>
              <w:overflowPunct/>
              <w:topLinePunct w:val="0"/>
              <w:autoSpaceDE/>
              <w:autoSpaceDN/>
              <w:bidi w:val="0"/>
              <w:adjustRightInd w:val="0"/>
              <w:snapToGrid w:val="0"/>
              <w:spacing w:after="0" w:line="440" w:lineRule="exact"/>
              <w:ind w:left="420" w:firstLineChars="0"/>
              <w:textAlignment w:val="auto"/>
              <w:rPr>
                <w:rFonts w:hint="eastAsia" w:ascii="宋体" w:hAnsi="宋体" w:eastAsia="宋体" w:cs="宋体"/>
                <w:sz w:val="28"/>
                <w:szCs w:val="28"/>
              </w:rPr>
            </w:pPr>
            <w:r>
              <w:rPr>
                <w:rFonts w:hint="eastAsia" w:ascii="宋体" w:hAnsi="宋体" w:eastAsia="宋体" w:cs="宋体"/>
                <w:sz w:val="28"/>
                <w:szCs w:val="28"/>
              </w:rPr>
              <w:t>工业应用软件基本概念与应用方法。</w:t>
            </w:r>
          </w:p>
        </w:tc>
      </w:tr>
      <w:tr w14:paraId="609EC1DD">
        <w:tblPrEx>
          <w:tblBorders>
            <w:top w:val="single" w:color="auto" w:sz="18" w:space="0"/>
            <w:left w:val="none" w:color="auto" w:sz="0" w:space="0"/>
            <w:bottom w:val="single" w:color="auto" w:sz="18"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22" w:type="dxa"/>
            <w:vAlign w:val="center"/>
          </w:tcPr>
          <w:p w14:paraId="33981C79">
            <w:pPr>
              <w:keepNext w:val="0"/>
              <w:keepLines w:val="0"/>
              <w:pageBreakBefore w:val="0"/>
              <w:widowControl/>
              <w:kinsoku/>
              <w:wordWrap/>
              <w:overflowPunct/>
              <w:topLinePunct w:val="0"/>
              <w:autoSpaceDE/>
              <w:autoSpaceDN/>
              <w:bidi w:val="0"/>
              <w:adjustRightInd w:val="0"/>
              <w:snapToGrid w:val="0"/>
              <w:spacing w:after="0" w:line="440" w:lineRule="exact"/>
              <w:ind w:left="220" w:leftChars="100"/>
              <w:textAlignment w:val="auto"/>
              <w:rPr>
                <w:rFonts w:hint="eastAsia" w:ascii="宋体" w:hAnsi="宋体" w:eastAsia="宋体" w:cs="宋体"/>
                <w:sz w:val="28"/>
                <w:szCs w:val="28"/>
              </w:rPr>
            </w:pPr>
            <w:r>
              <w:rPr>
                <w:rFonts w:hint="eastAsia" w:ascii="宋体" w:hAnsi="宋体" w:eastAsia="宋体" w:cs="宋体"/>
                <w:sz w:val="28"/>
                <w:szCs w:val="28"/>
              </w:rPr>
              <w:t>个人应能够：</w:t>
            </w:r>
          </w:p>
          <w:p w14:paraId="429B8F1C">
            <w:pPr>
              <w:pStyle w:val="14"/>
              <w:keepNext w:val="0"/>
              <w:keepLines w:val="0"/>
              <w:pageBreakBefore w:val="0"/>
              <w:widowControl/>
              <w:numPr>
                <w:ilvl w:val="0"/>
                <w:numId w:val="5"/>
              </w:numPr>
              <w:kinsoku/>
              <w:wordWrap/>
              <w:overflowPunct/>
              <w:topLinePunct w:val="0"/>
              <w:autoSpaceDE/>
              <w:autoSpaceDN/>
              <w:bidi w:val="0"/>
              <w:adjustRightInd w:val="0"/>
              <w:snapToGrid w:val="0"/>
              <w:spacing w:after="0" w:line="440" w:lineRule="exact"/>
              <w:ind w:left="420" w:firstLineChars="0"/>
              <w:textAlignment w:val="auto"/>
              <w:rPr>
                <w:rFonts w:hint="eastAsia" w:ascii="宋体" w:hAnsi="宋体" w:eastAsia="宋体" w:cs="宋体"/>
                <w:sz w:val="28"/>
                <w:szCs w:val="28"/>
              </w:rPr>
            </w:pPr>
            <w:r>
              <w:rPr>
                <w:rFonts w:hint="eastAsia" w:ascii="宋体" w:hAnsi="宋体" w:eastAsia="宋体" w:cs="宋体"/>
                <w:sz w:val="28"/>
                <w:szCs w:val="28"/>
              </w:rPr>
              <w:t>熟悉工业互联网平台架构。</w:t>
            </w:r>
          </w:p>
          <w:p w14:paraId="0437AC65">
            <w:pPr>
              <w:pStyle w:val="14"/>
              <w:keepNext w:val="0"/>
              <w:keepLines w:val="0"/>
              <w:pageBreakBefore w:val="0"/>
              <w:widowControl/>
              <w:numPr>
                <w:ilvl w:val="0"/>
                <w:numId w:val="5"/>
              </w:numPr>
              <w:kinsoku/>
              <w:wordWrap/>
              <w:overflowPunct/>
              <w:topLinePunct w:val="0"/>
              <w:autoSpaceDE/>
              <w:autoSpaceDN/>
              <w:bidi w:val="0"/>
              <w:adjustRightInd w:val="0"/>
              <w:snapToGrid w:val="0"/>
              <w:spacing w:after="0" w:line="440" w:lineRule="exact"/>
              <w:ind w:left="420" w:firstLineChars="0"/>
              <w:textAlignment w:val="auto"/>
              <w:rPr>
                <w:rFonts w:hint="eastAsia" w:ascii="宋体" w:hAnsi="宋体" w:eastAsia="宋体" w:cs="宋体"/>
                <w:sz w:val="28"/>
                <w:szCs w:val="28"/>
              </w:rPr>
            </w:pPr>
            <w:r>
              <w:rPr>
                <w:rFonts w:hint="eastAsia" w:ascii="宋体" w:hAnsi="宋体" w:eastAsia="宋体" w:cs="宋体"/>
                <w:sz w:val="28"/>
                <w:szCs w:val="28"/>
              </w:rPr>
              <w:t>熟悉工业互联网安全体系。</w:t>
            </w:r>
          </w:p>
          <w:p w14:paraId="7D1CC33D">
            <w:pPr>
              <w:pStyle w:val="14"/>
              <w:keepNext w:val="0"/>
              <w:keepLines w:val="0"/>
              <w:pageBreakBefore w:val="0"/>
              <w:widowControl/>
              <w:numPr>
                <w:ilvl w:val="0"/>
                <w:numId w:val="5"/>
              </w:numPr>
              <w:kinsoku/>
              <w:wordWrap/>
              <w:overflowPunct/>
              <w:topLinePunct w:val="0"/>
              <w:autoSpaceDE/>
              <w:autoSpaceDN/>
              <w:bidi w:val="0"/>
              <w:adjustRightInd w:val="0"/>
              <w:snapToGrid w:val="0"/>
              <w:spacing w:after="0" w:line="440" w:lineRule="exact"/>
              <w:ind w:left="420" w:firstLineChars="0"/>
              <w:textAlignment w:val="auto"/>
              <w:rPr>
                <w:rFonts w:hint="eastAsia" w:ascii="宋体" w:hAnsi="宋体" w:eastAsia="宋体" w:cs="宋体"/>
                <w:sz w:val="28"/>
                <w:szCs w:val="28"/>
              </w:rPr>
            </w:pPr>
            <w:r>
              <w:rPr>
                <w:rFonts w:hint="eastAsia" w:ascii="宋体" w:hAnsi="宋体" w:eastAsia="宋体" w:cs="宋体"/>
                <w:sz w:val="28"/>
                <w:szCs w:val="28"/>
              </w:rPr>
              <w:t>基本掌握工业互联网平台的基本操作。</w:t>
            </w:r>
          </w:p>
          <w:p w14:paraId="24771A3B">
            <w:pPr>
              <w:pStyle w:val="14"/>
              <w:keepNext w:val="0"/>
              <w:keepLines w:val="0"/>
              <w:pageBreakBefore w:val="0"/>
              <w:widowControl/>
              <w:numPr>
                <w:ilvl w:val="0"/>
                <w:numId w:val="5"/>
              </w:numPr>
              <w:kinsoku/>
              <w:wordWrap/>
              <w:overflowPunct/>
              <w:topLinePunct w:val="0"/>
              <w:autoSpaceDE/>
              <w:autoSpaceDN/>
              <w:bidi w:val="0"/>
              <w:adjustRightInd w:val="0"/>
              <w:snapToGrid w:val="0"/>
              <w:spacing w:after="0" w:line="440" w:lineRule="exact"/>
              <w:ind w:left="420" w:firstLineChars="0"/>
              <w:textAlignment w:val="auto"/>
              <w:rPr>
                <w:rFonts w:hint="eastAsia" w:ascii="宋体" w:hAnsi="宋体" w:eastAsia="宋体" w:cs="宋体"/>
                <w:sz w:val="28"/>
                <w:szCs w:val="28"/>
              </w:rPr>
            </w:pPr>
            <w:r>
              <w:rPr>
                <w:rFonts w:hint="eastAsia" w:ascii="宋体" w:hAnsi="宋体" w:eastAsia="宋体" w:cs="宋体"/>
                <w:sz w:val="28"/>
                <w:szCs w:val="28"/>
              </w:rPr>
              <w:t>基本掌握工业应用软件配置应用的基本操作。</w:t>
            </w:r>
          </w:p>
          <w:p w14:paraId="289BD0C0">
            <w:pPr>
              <w:pStyle w:val="14"/>
              <w:keepNext w:val="0"/>
              <w:keepLines w:val="0"/>
              <w:pageBreakBefore w:val="0"/>
              <w:widowControl/>
              <w:numPr>
                <w:ilvl w:val="0"/>
                <w:numId w:val="5"/>
              </w:numPr>
              <w:kinsoku/>
              <w:wordWrap/>
              <w:overflowPunct/>
              <w:topLinePunct w:val="0"/>
              <w:autoSpaceDE/>
              <w:autoSpaceDN/>
              <w:bidi w:val="0"/>
              <w:adjustRightInd w:val="0"/>
              <w:snapToGrid w:val="0"/>
              <w:spacing w:after="0" w:line="440" w:lineRule="exact"/>
              <w:ind w:left="420" w:firstLineChars="0"/>
              <w:textAlignment w:val="auto"/>
              <w:rPr>
                <w:rFonts w:hint="eastAsia" w:ascii="宋体" w:hAnsi="宋体" w:eastAsia="宋体" w:cs="宋体"/>
                <w:sz w:val="28"/>
                <w:szCs w:val="28"/>
              </w:rPr>
            </w:pPr>
            <w:r>
              <w:rPr>
                <w:rFonts w:hint="eastAsia" w:ascii="宋体" w:hAnsi="宋体" w:eastAsia="宋体" w:cs="宋体"/>
                <w:sz w:val="28"/>
                <w:szCs w:val="28"/>
              </w:rPr>
              <w:t>工业数据采集系统方案设计、数据采集分析与系统运维的能力。</w:t>
            </w:r>
          </w:p>
          <w:p w14:paraId="736224B7">
            <w:pPr>
              <w:pStyle w:val="14"/>
              <w:keepNext w:val="0"/>
              <w:keepLines w:val="0"/>
              <w:pageBreakBefore w:val="0"/>
              <w:widowControl/>
              <w:numPr>
                <w:ilvl w:val="0"/>
                <w:numId w:val="5"/>
              </w:numPr>
              <w:kinsoku/>
              <w:wordWrap/>
              <w:overflowPunct/>
              <w:topLinePunct w:val="0"/>
              <w:autoSpaceDE/>
              <w:autoSpaceDN/>
              <w:bidi w:val="0"/>
              <w:adjustRightInd w:val="0"/>
              <w:snapToGrid w:val="0"/>
              <w:spacing w:after="0" w:line="440" w:lineRule="exact"/>
              <w:ind w:left="420" w:firstLineChars="0"/>
              <w:textAlignment w:val="auto"/>
              <w:rPr>
                <w:rFonts w:hint="eastAsia" w:ascii="宋体" w:hAnsi="宋体" w:eastAsia="宋体" w:cs="宋体"/>
                <w:sz w:val="28"/>
                <w:szCs w:val="28"/>
              </w:rPr>
            </w:pPr>
            <w:r>
              <w:rPr>
                <w:rFonts w:hint="eastAsia" w:ascii="宋体" w:hAnsi="宋体" w:eastAsia="宋体" w:cs="宋体"/>
                <w:sz w:val="28"/>
                <w:szCs w:val="28"/>
              </w:rPr>
              <w:t>常用工业软件与工业互联网平台的设备管理、生产管理、运营管理的能力。</w:t>
            </w:r>
          </w:p>
        </w:tc>
      </w:tr>
    </w:tbl>
    <w:p w14:paraId="3207515F">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cs="宋体"/>
          <w:sz w:val="28"/>
          <w:szCs w:val="28"/>
        </w:rPr>
      </w:pPr>
      <w:bookmarkStart w:id="17" w:name="_Toc354536844"/>
      <w:bookmarkStart w:id="18" w:name="_Toc10517"/>
      <w:r>
        <w:rPr>
          <w:rFonts w:hint="eastAsia" w:ascii="宋体" w:hAnsi="宋体" w:eastAsia="宋体" w:cs="宋体"/>
          <w:sz w:val="28"/>
          <w:szCs w:val="28"/>
        </w:rPr>
        <w:t>3.竞赛</w:t>
      </w:r>
      <w:bookmarkEnd w:id="16"/>
      <w:r>
        <w:rPr>
          <w:rFonts w:hint="eastAsia" w:ascii="宋体" w:hAnsi="宋体" w:eastAsia="宋体" w:cs="宋体"/>
          <w:sz w:val="28"/>
          <w:szCs w:val="28"/>
        </w:rPr>
        <w:t>模块及命题方式</w:t>
      </w:r>
      <w:bookmarkEnd w:id="17"/>
      <w:bookmarkEnd w:id="18"/>
    </w:p>
    <w:p w14:paraId="65BE90E1">
      <w:pPr>
        <w:keepNext w:val="0"/>
        <w:keepLines w:val="0"/>
        <w:pageBreakBefore w:val="0"/>
        <w:widowControl/>
        <w:kinsoku/>
        <w:wordWrap/>
        <w:overflowPunct/>
        <w:topLinePunct w:val="0"/>
        <w:autoSpaceDE/>
        <w:autoSpaceDN/>
        <w:bidi w:val="0"/>
        <w:adjustRightInd w:val="0"/>
        <w:snapToGrid w:val="0"/>
        <w:spacing w:after="0" w:line="440" w:lineRule="exact"/>
        <w:textAlignment w:val="auto"/>
        <w:outlineLvl w:val="2"/>
        <w:rPr>
          <w:rFonts w:hint="eastAsia" w:ascii="宋体" w:hAnsi="宋体" w:eastAsia="宋体" w:cs="宋体"/>
          <w:sz w:val="28"/>
          <w:szCs w:val="28"/>
        </w:rPr>
      </w:pPr>
      <w:bookmarkStart w:id="19" w:name="_Toc27674"/>
      <w:bookmarkStart w:id="20" w:name="_Toc1581100330"/>
      <w:bookmarkStart w:id="21" w:name="_Toc481314001"/>
      <w:r>
        <w:rPr>
          <w:rFonts w:hint="eastAsia" w:ascii="宋体" w:hAnsi="宋体" w:eastAsia="宋体" w:cs="宋体"/>
          <w:sz w:val="28"/>
          <w:szCs w:val="28"/>
        </w:rPr>
        <w:t>3.1 竞赛模块</w:t>
      </w:r>
      <w:bookmarkEnd w:id="19"/>
      <w:bookmarkEnd w:id="20"/>
      <w:bookmarkEnd w:id="21"/>
    </w:p>
    <w:tbl>
      <w:tblPr>
        <w:tblStyle w:val="11"/>
        <w:tblpPr w:leftFromText="180" w:rightFromText="180" w:vertAnchor="text" w:horzAnchor="margin" w:tblpXSpec="left" w:tblpY="54"/>
        <w:tblW w:w="9139" w:type="dxa"/>
        <w:tblInd w:w="0"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997"/>
        <w:gridCol w:w="3364"/>
        <w:gridCol w:w="1276"/>
        <w:gridCol w:w="1134"/>
        <w:gridCol w:w="1134"/>
        <w:gridCol w:w="1234"/>
      </w:tblGrid>
      <w:tr w14:paraId="1D282265">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997" w:type="dxa"/>
            <w:vMerge w:val="restart"/>
            <w:vAlign w:val="center"/>
          </w:tcPr>
          <w:p w14:paraId="01A85270">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b/>
                <w:sz w:val="28"/>
                <w:szCs w:val="28"/>
              </w:rPr>
            </w:pPr>
            <w:r>
              <w:rPr>
                <w:rFonts w:hint="eastAsia" w:ascii="宋体" w:hAnsi="宋体" w:eastAsia="宋体" w:cs="宋体"/>
                <w:b/>
                <w:sz w:val="28"/>
                <w:szCs w:val="28"/>
              </w:rPr>
              <w:t>模块</w:t>
            </w:r>
          </w:p>
          <w:p w14:paraId="5154F11C">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b/>
                <w:sz w:val="28"/>
                <w:szCs w:val="28"/>
              </w:rPr>
            </w:pPr>
            <w:r>
              <w:rPr>
                <w:rFonts w:hint="eastAsia" w:ascii="宋体" w:hAnsi="宋体" w:eastAsia="宋体" w:cs="宋体"/>
                <w:b/>
                <w:sz w:val="28"/>
                <w:szCs w:val="28"/>
              </w:rPr>
              <w:t>编号</w:t>
            </w:r>
          </w:p>
        </w:tc>
        <w:tc>
          <w:tcPr>
            <w:tcW w:w="3364" w:type="dxa"/>
            <w:vMerge w:val="restart"/>
            <w:vAlign w:val="center"/>
          </w:tcPr>
          <w:p w14:paraId="7B938CCF">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b/>
                <w:sz w:val="28"/>
                <w:szCs w:val="28"/>
              </w:rPr>
            </w:pPr>
            <w:r>
              <w:rPr>
                <w:rFonts w:hint="eastAsia" w:ascii="宋体" w:hAnsi="宋体" w:eastAsia="宋体" w:cs="宋体"/>
                <w:b/>
                <w:sz w:val="28"/>
                <w:szCs w:val="28"/>
              </w:rPr>
              <w:t>模块名称</w:t>
            </w:r>
          </w:p>
        </w:tc>
        <w:tc>
          <w:tcPr>
            <w:tcW w:w="1276" w:type="dxa"/>
            <w:vMerge w:val="restart"/>
            <w:vAlign w:val="center"/>
          </w:tcPr>
          <w:p w14:paraId="2A25EA07">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b/>
                <w:sz w:val="28"/>
                <w:szCs w:val="28"/>
              </w:rPr>
            </w:pPr>
            <w:r>
              <w:rPr>
                <w:rFonts w:hint="eastAsia" w:ascii="宋体" w:hAnsi="宋体" w:eastAsia="宋体" w:cs="宋体"/>
                <w:b/>
                <w:sz w:val="28"/>
                <w:szCs w:val="28"/>
              </w:rPr>
              <w:t>竞赛时间</w:t>
            </w:r>
          </w:p>
          <w:p w14:paraId="07EF6EB9">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b/>
                <w:sz w:val="28"/>
                <w:szCs w:val="28"/>
              </w:rPr>
            </w:pPr>
            <w:r>
              <w:rPr>
                <w:rFonts w:hint="eastAsia" w:ascii="宋体" w:hAnsi="宋体" w:eastAsia="宋体" w:cs="宋体"/>
                <w:b/>
                <w:sz w:val="28"/>
                <w:szCs w:val="28"/>
              </w:rPr>
              <w:t>min</w:t>
            </w:r>
          </w:p>
        </w:tc>
        <w:tc>
          <w:tcPr>
            <w:tcW w:w="3502" w:type="dxa"/>
            <w:gridSpan w:val="3"/>
            <w:vAlign w:val="center"/>
          </w:tcPr>
          <w:p w14:paraId="6D39B78C">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b/>
                <w:sz w:val="28"/>
                <w:szCs w:val="28"/>
              </w:rPr>
            </w:pPr>
            <w:r>
              <w:rPr>
                <w:rFonts w:hint="eastAsia" w:ascii="宋体" w:hAnsi="宋体" w:eastAsia="宋体" w:cs="宋体"/>
                <w:b/>
                <w:sz w:val="28"/>
                <w:szCs w:val="28"/>
              </w:rPr>
              <w:t>分数</w:t>
            </w:r>
          </w:p>
        </w:tc>
      </w:tr>
      <w:tr w14:paraId="61DC0D66">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997" w:type="dxa"/>
            <w:vMerge w:val="continue"/>
            <w:vAlign w:val="center"/>
          </w:tcPr>
          <w:p w14:paraId="6DADF660">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b/>
                <w:sz w:val="28"/>
                <w:szCs w:val="28"/>
              </w:rPr>
            </w:pPr>
          </w:p>
        </w:tc>
        <w:tc>
          <w:tcPr>
            <w:tcW w:w="3364" w:type="dxa"/>
            <w:vMerge w:val="continue"/>
            <w:vAlign w:val="center"/>
          </w:tcPr>
          <w:p w14:paraId="4452D001">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b/>
                <w:sz w:val="28"/>
                <w:szCs w:val="28"/>
              </w:rPr>
            </w:pPr>
          </w:p>
        </w:tc>
        <w:tc>
          <w:tcPr>
            <w:tcW w:w="1276" w:type="dxa"/>
            <w:vMerge w:val="continue"/>
          </w:tcPr>
          <w:p w14:paraId="21FF4A90">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b/>
                <w:sz w:val="28"/>
                <w:szCs w:val="28"/>
              </w:rPr>
            </w:pPr>
          </w:p>
        </w:tc>
        <w:tc>
          <w:tcPr>
            <w:tcW w:w="1134" w:type="dxa"/>
            <w:vAlign w:val="center"/>
          </w:tcPr>
          <w:p w14:paraId="0A6CE59D">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b/>
                <w:sz w:val="28"/>
                <w:szCs w:val="28"/>
              </w:rPr>
            </w:pPr>
            <w:r>
              <w:rPr>
                <w:rFonts w:hint="eastAsia" w:ascii="宋体" w:hAnsi="宋体" w:eastAsia="宋体" w:cs="宋体"/>
                <w:b/>
                <w:sz w:val="28"/>
                <w:szCs w:val="28"/>
              </w:rPr>
              <w:t>评价分</w:t>
            </w:r>
          </w:p>
        </w:tc>
        <w:tc>
          <w:tcPr>
            <w:tcW w:w="1134" w:type="dxa"/>
            <w:vAlign w:val="center"/>
          </w:tcPr>
          <w:p w14:paraId="2D7CA08B">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b/>
                <w:sz w:val="28"/>
                <w:szCs w:val="28"/>
              </w:rPr>
            </w:pPr>
            <w:r>
              <w:rPr>
                <w:rFonts w:hint="eastAsia" w:ascii="宋体" w:hAnsi="宋体" w:eastAsia="宋体" w:cs="宋体"/>
                <w:b/>
                <w:sz w:val="28"/>
                <w:szCs w:val="28"/>
              </w:rPr>
              <w:t>测量分</w:t>
            </w:r>
          </w:p>
        </w:tc>
        <w:tc>
          <w:tcPr>
            <w:tcW w:w="1234" w:type="dxa"/>
            <w:vAlign w:val="center"/>
          </w:tcPr>
          <w:p w14:paraId="128E7D8E">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b/>
                <w:sz w:val="28"/>
                <w:szCs w:val="28"/>
              </w:rPr>
            </w:pPr>
            <w:r>
              <w:rPr>
                <w:rFonts w:hint="eastAsia" w:ascii="宋体" w:hAnsi="宋体" w:eastAsia="宋体" w:cs="宋体"/>
                <w:b/>
                <w:sz w:val="28"/>
                <w:szCs w:val="28"/>
              </w:rPr>
              <w:t>合计</w:t>
            </w:r>
          </w:p>
        </w:tc>
      </w:tr>
      <w:tr w14:paraId="6C56306E">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476" w:hRule="atLeast"/>
        </w:trPr>
        <w:tc>
          <w:tcPr>
            <w:tcW w:w="997" w:type="dxa"/>
            <w:vAlign w:val="center"/>
          </w:tcPr>
          <w:p w14:paraId="15CD871B">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A</w:t>
            </w:r>
          </w:p>
        </w:tc>
        <w:tc>
          <w:tcPr>
            <w:tcW w:w="3364" w:type="dxa"/>
            <w:vAlign w:val="center"/>
          </w:tcPr>
          <w:p w14:paraId="4EBA0B69">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cs="宋体"/>
                <w:sz w:val="28"/>
                <w:szCs w:val="28"/>
              </w:rPr>
            </w:pPr>
            <w:r>
              <w:rPr>
                <w:rFonts w:hint="eastAsia" w:ascii="宋体" w:hAnsi="宋体" w:eastAsia="宋体" w:cs="宋体"/>
                <w:sz w:val="28"/>
                <w:szCs w:val="28"/>
              </w:rPr>
              <w:t>工业设备调试</w:t>
            </w:r>
          </w:p>
        </w:tc>
        <w:tc>
          <w:tcPr>
            <w:tcW w:w="1276" w:type="dxa"/>
            <w:vMerge w:val="restart"/>
            <w:vAlign w:val="center"/>
          </w:tcPr>
          <w:p w14:paraId="1C23F98E">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180</w:t>
            </w:r>
          </w:p>
        </w:tc>
        <w:tc>
          <w:tcPr>
            <w:tcW w:w="1134" w:type="dxa"/>
            <w:vAlign w:val="center"/>
          </w:tcPr>
          <w:p w14:paraId="01124712">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0</w:t>
            </w:r>
          </w:p>
        </w:tc>
        <w:tc>
          <w:tcPr>
            <w:tcW w:w="1134" w:type="dxa"/>
            <w:vAlign w:val="center"/>
          </w:tcPr>
          <w:p w14:paraId="3AFE8F67">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15</w:t>
            </w:r>
          </w:p>
        </w:tc>
        <w:tc>
          <w:tcPr>
            <w:tcW w:w="1234" w:type="dxa"/>
            <w:vAlign w:val="center"/>
          </w:tcPr>
          <w:p w14:paraId="26D3BB21">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15</w:t>
            </w:r>
          </w:p>
        </w:tc>
      </w:tr>
      <w:tr w14:paraId="0AF7E321">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446" w:hRule="atLeast"/>
        </w:trPr>
        <w:tc>
          <w:tcPr>
            <w:tcW w:w="997" w:type="dxa"/>
            <w:vAlign w:val="center"/>
          </w:tcPr>
          <w:p w14:paraId="5778A994">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B</w:t>
            </w:r>
          </w:p>
        </w:tc>
        <w:tc>
          <w:tcPr>
            <w:tcW w:w="3364" w:type="dxa"/>
            <w:vAlign w:val="center"/>
          </w:tcPr>
          <w:p w14:paraId="018FCA3E">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cs="宋体"/>
                <w:sz w:val="28"/>
                <w:szCs w:val="28"/>
              </w:rPr>
            </w:pPr>
            <w:r>
              <w:rPr>
                <w:rFonts w:hint="eastAsia" w:ascii="宋体" w:hAnsi="宋体" w:eastAsia="宋体" w:cs="宋体"/>
                <w:sz w:val="28"/>
                <w:szCs w:val="28"/>
              </w:rPr>
              <w:t>工业互联网技术及应用开发</w:t>
            </w:r>
          </w:p>
        </w:tc>
        <w:tc>
          <w:tcPr>
            <w:tcW w:w="1276" w:type="dxa"/>
            <w:vMerge w:val="continue"/>
            <w:vAlign w:val="center"/>
          </w:tcPr>
          <w:p w14:paraId="66A29DDF">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p>
        </w:tc>
        <w:tc>
          <w:tcPr>
            <w:tcW w:w="1134" w:type="dxa"/>
            <w:vAlign w:val="center"/>
          </w:tcPr>
          <w:p w14:paraId="1EF8ACEF">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0</w:t>
            </w:r>
          </w:p>
        </w:tc>
        <w:tc>
          <w:tcPr>
            <w:tcW w:w="1134" w:type="dxa"/>
            <w:vAlign w:val="center"/>
          </w:tcPr>
          <w:p w14:paraId="42410FA3">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65</w:t>
            </w:r>
          </w:p>
        </w:tc>
        <w:tc>
          <w:tcPr>
            <w:tcW w:w="1234" w:type="dxa"/>
            <w:vAlign w:val="center"/>
          </w:tcPr>
          <w:p w14:paraId="735D6EE8">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65</w:t>
            </w:r>
          </w:p>
        </w:tc>
      </w:tr>
      <w:tr w14:paraId="5C987191">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446" w:hRule="atLeast"/>
        </w:trPr>
        <w:tc>
          <w:tcPr>
            <w:tcW w:w="997" w:type="dxa"/>
            <w:vAlign w:val="center"/>
          </w:tcPr>
          <w:p w14:paraId="638C9FD8">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C</w:t>
            </w:r>
          </w:p>
        </w:tc>
        <w:tc>
          <w:tcPr>
            <w:tcW w:w="3364" w:type="dxa"/>
            <w:vAlign w:val="center"/>
          </w:tcPr>
          <w:p w14:paraId="58DCBAAB">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cs="宋体"/>
                <w:sz w:val="28"/>
                <w:szCs w:val="28"/>
              </w:rPr>
            </w:pPr>
            <w:r>
              <w:rPr>
                <w:rFonts w:hint="eastAsia" w:ascii="宋体" w:hAnsi="宋体" w:eastAsia="宋体" w:cs="宋体"/>
                <w:sz w:val="28"/>
                <w:szCs w:val="28"/>
              </w:rPr>
              <w:t>利用AIGC完成实施报告</w:t>
            </w:r>
          </w:p>
        </w:tc>
        <w:tc>
          <w:tcPr>
            <w:tcW w:w="1276" w:type="dxa"/>
            <w:vMerge w:val="continue"/>
            <w:vAlign w:val="center"/>
          </w:tcPr>
          <w:p w14:paraId="55B87BDA">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p>
        </w:tc>
        <w:tc>
          <w:tcPr>
            <w:tcW w:w="1134" w:type="dxa"/>
            <w:shd w:val="clear" w:color="auto" w:fill="auto"/>
            <w:vAlign w:val="center"/>
          </w:tcPr>
          <w:p w14:paraId="6AC1EC35">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15</w:t>
            </w:r>
          </w:p>
        </w:tc>
        <w:tc>
          <w:tcPr>
            <w:tcW w:w="1134" w:type="dxa"/>
            <w:shd w:val="clear" w:color="auto" w:fill="auto"/>
            <w:vAlign w:val="center"/>
          </w:tcPr>
          <w:p w14:paraId="544651F4">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0</w:t>
            </w:r>
          </w:p>
        </w:tc>
        <w:tc>
          <w:tcPr>
            <w:tcW w:w="1234" w:type="dxa"/>
            <w:shd w:val="clear" w:color="auto" w:fill="auto"/>
            <w:vAlign w:val="center"/>
          </w:tcPr>
          <w:p w14:paraId="308C6072">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15</w:t>
            </w:r>
          </w:p>
        </w:tc>
      </w:tr>
      <w:tr w14:paraId="35F96EEC">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446" w:hRule="atLeast"/>
        </w:trPr>
        <w:tc>
          <w:tcPr>
            <w:tcW w:w="997" w:type="dxa"/>
            <w:vAlign w:val="center"/>
          </w:tcPr>
          <w:p w14:paraId="69ED97AA">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p>
        </w:tc>
        <w:tc>
          <w:tcPr>
            <w:tcW w:w="3364" w:type="dxa"/>
            <w:vAlign w:val="center"/>
          </w:tcPr>
          <w:p w14:paraId="75C25C92">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cs="宋体"/>
                <w:sz w:val="28"/>
                <w:szCs w:val="28"/>
              </w:rPr>
            </w:pPr>
            <w:r>
              <w:rPr>
                <w:rFonts w:hint="eastAsia" w:ascii="宋体" w:hAnsi="宋体" w:eastAsia="宋体" w:cs="宋体"/>
                <w:sz w:val="28"/>
                <w:szCs w:val="28"/>
              </w:rPr>
              <w:t>职业素养</w:t>
            </w:r>
          </w:p>
        </w:tc>
        <w:tc>
          <w:tcPr>
            <w:tcW w:w="1276" w:type="dxa"/>
            <w:vMerge w:val="continue"/>
            <w:vAlign w:val="center"/>
          </w:tcPr>
          <w:p w14:paraId="291372A9">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p>
        </w:tc>
        <w:tc>
          <w:tcPr>
            <w:tcW w:w="1134" w:type="dxa"/>
            <w:shd w:val="clear" w:color="auto" w:fill="auto"/>
            <w:vAlign w:val="center"/>
          </w:tcPr>
          <w:p w14:paraId="6B2C8AB9">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0</w:t>
            </w:r>
          </w:p>
        </w:tc>
        <w:tc>
          <w:tcPr>
            <w:tcW w:w="1134" w:type="dxa"/>
            <w:shd w:val="clear" w:color="auto" w:fill="auto"/>
            <w:vAlign w:val="center"/>
          </w:tcPr>
          <w:p w14:paraId="58F51AF6">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5</w:t>
            </w:r>
          </w:p>
        </w:tc>
        <w:tc>
          <w:tcPr>
            <w:tcW w:w="1234" w:type="dxa"/>
            <w:shd w:val="clear" w:color="auto" w:fill="auto"/>
            <w:vAlign w:val="center"/>
          </w:tcPr>
          <w:p w14:paraId="7B0FFA0E">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5</w:t>
            </w:r>
          </w:p>
        </w:tc>
      </w:tr>
      <w:tr w14:paraId="61D3D394">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997" w:type="dxa"/>
            <w:vAlign w:val="center"/>
          </w:tcPr>
          <w:p w14:paraId="0D45C39C">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总计</w:t>
            </w:r>
          </w:p>
        </w:tc>
        <w:tc>
          <w:tcPr>
            <w:tcW w:w="3364" w:type="dxa"/>
            <w:vAlign w:val="center"/>
          </w:tcPr>
          <w:p w14:paraId="13AB2F82">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p>
        </w:tc>
        <w:tc>
          <w:tcPr>
            <w:tcW w:w="1276" w:type="dxa"/>
            <w:vAlign w:val="center"/>
          </w:tcPr>
          <w:p w14:paraId="2001A051">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180</w:t>
            </w:r>
          </w:p>
        </w:tc>
        <w:tc>
          <w:tcPr>
            <w:tcW w:w="1134" w:type="dxa"/>
            <w:vAlign w:val="center"/>
          </w:tcPr>
          <w:p w14:paraId="16577A31">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15</w:t>
            </w:r>
          </w:p>
        </w:tc>
        <w:tc>
          <w:tcPr>
            <w:tcW w:w="1134" w:type="dxa"/>
            <w:vAlign w:val="center"/>
          </w:tcPr>
          <w:p w14:paraId="752EB381">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85</w:t>
            </w:r>
          </w:p>
        </w:tc>
        <w:tc>
          <w:tcPr>
            <w:tcW w:w="1234" w:type="dxa"/>
            <w:vAlign w:val="center"/>
          </w:tcPr>
          <w:p w14:paraId="13233507">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100</w:t>
            </w:r>
          </w:p>
        </w:tc>
      </w:tr>
    </w:tbl>
    <w:p w14:paraId="267313C2">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napToGrid w:val="0"/>
          <w:sz w:val="28"/>
          <w:szCs w:val="28"/>
        </w:rPr>
      </w:pPr>
      <w:r>
        <w:rPr>
          <w:rFonts w:hint="eastAsia" w:ascii="宋体" w:hAnsi="宋体" w:eastAsia="宋体" w:cs="宋体"/>
          <w:sz w:val="28"/>
          <w:szCs w:val="28"/>
        </w:rPr>
        <w:t>竞赛整体时长为180分钟，</w:t>
      </w:r>
      <w:r>
        <w:rPr>
          <w:rFonts w:hint="eastAsia" w:ascii="宋体" w:hAnsi="宋体" w:eastAsia="宋体" w:cs="宋体"/>
          <w:snapToGrid w:val="0"/>
          <w:sz w:val="28"/>
          <w:szCs w:val="28"/>
        </w:rPr>
        <w:t>参赛选手的成绩为模块A、模块B、模块C得分之和加职业素养分值，比赛成绩按照总得分从高到低排列，若总得分相同</w:t>
      </w:r>
      <w:r>
        <w:rPr>
          <w:rFonts w:hint="eastAsia" w:ascii="宋体" w:hAnsi="宋体" w:eastAsia="宋体" w:cs="宋体"/>
          <w:sz w:val="28"/>
          <w:szCs w:val="28"/>
        </w:rPr>
        <w:t>比较模块A的成绩，模块A成绩高的排名优先。如果模块A成绩也相同，则按模块B的成绩进行排名，模块B成绩高的排名优先。</w:t>
      </w:r>
      <w:r>
        <w:rPr>
          <w:rFonts w:hint="eastAsia" w:ascii="宋体" w:hAnsi="宋体" w:eastAsia="宋体" w:cs="宋体"/>
          <w:snapToGrid w:val="0"/>
          <w:sz w:val="28"/>
          <w:szCs w:val="28"/>
        </w:rPr>
        <w:t>若模块B得分相同，</w:t>
      </w:r>
      <w:r>
        <w:rPr>
          <w:rFonts w:hint="eastAsia" w:ascii="宋体" w:hAnsi="宋体" w:eastAsia="宋体" w:cs="宋体"/>
          <w:sz w:val="28"/>
          <w:szCs w:val="28"/>
        </w:rPr>
        <w:t>则按模块C的成绩进行排名，</w:t>
      </w:r>
      <w:r>
        <w:rPr>
          <w:rFonts w:hint="eastAsia" w:ascii="宋体" w:hAnsi="宋体" w:eastAsia="宋体" w:cs="宋体"/>
          <w:snapToGrid w:val="0"/>
          <w:sz w:val="28"/>
          <w:szCs w:val="28"/>
        </w:rPr>
        <w:t>模块C得分高的排名在前。</w:t>
      </w:r>
    </w:p>
    <w:p w14:paraId="79553A56">
      <w:pPr>
        <w:keepNext w:val="0"/>
        <w:keepLines w:val="0"/>
        <w:pageBreakBefore w:val="0"/>
        <w:widowControl/>
        <w:kinsoku/>
        <w:wordWrap/>
        <w:overflowPunct/>
        <w:topLinePunct w:val="0"/>
        <w:autoSpaceDE/>
        <w:autoSpaceDN/>
        <w:bidi w:val="0"/>
        <w:adjustRightInd w:val="0"/>
        <w:snapToGrid w:val="0"/>
        <w:spacing w:after="0" w:line="440" w:lineRule="exact"/>
        <w:textAlignment w:val="auto"/>
        <w:outlineLvl w:val="2"/>
        <w:rPr>
          <w:rFonts w:hint="eastAsia" w:ascii="宋体" w:hAnsi="宋体" w:eastAsia="宋体" w:cs="宋体"/>
          <w:sz w:val="28"/>
          <w:szCs w:val="28"/>
        </w:rPr>
      </w:pPr>
      <w:bookmarkStart w:id="22" w:name="_Toc481314002"/>
      <w:bookmarkStart w:id="23" w:name="_Toc590598332"/>
      <w:bookmarkStart w:id="24" w:name="_Toc14494"/>
      <w:r>
        <w:rPr>
          <w:rFonts w:hint="eastAsia" w:ascii="宋体" w:hAnsi="宋体" w:eastAsia="宋体" w:cs="宋体"/>
          <w:sz w:val="28"/>
          <w:szCs w:val="28"/>
        </w:rPr>
        <w:t xml:space="preserve">3.2 </w:t>
      </w:r>
      <w:bookmarkEnd w:id="22"/>
      <w:r>
        <w:rPr>
          <w:rFonts w:hint="eastAsia" w:ascii="宋体" w:hAnsi="宋体" w:eastAsia="宋体" w:cs="宋体"/>
          <w:sz w:val="28"/>
          <w:szCs w:val="28"/>
        </w:rPr>
        <w:t>模块简述</w:t>
      </w:r>
      <w:bookmarkEnd w:id="23"/>
      <w:bookmarkEnd w:id="24"/>
    </w:p>
    <w:p w14:paraId="3FF93293">
      <w:pPr>
        <w:keepNext w:val="0"/>
        <w:keepLines w:val="0"/>
        <w:pageBreakBefore w:val="0"/>
        <w:widowControl/>
        <w:kinsoku/>
        <w:wordWrap/>
        <w:overflowPunct/>
        <w:topLinePunct w:val="0"/>
        <w:autoSpaceDE/>
        <w:autoSpaceDN/>
        <w:bidi w:val="0"/>
        <w:adjustRightInd w:val="0"/>
        <w:snapToGrid w:val="0"/>
        <w:spacing w:after="0" w:line="440" w:lineRule="exact"/>
        <w:textAlignment w:val="auto"/>
        <w:outlineLvl w:val="3"/>
        <w:rPr>
          <w:rFonts w:hint="eastAsia" w:ascii="宋体" w:hAnsi="宋体" w:eastAsia="宋体" w:cs="宋体"/>
          <w:sz w:val="28"/>
          <w:szCs w:val="28"/>
        </w:rPr>
      </w:pPr>
      <w:bookmarkStart w:id="25" w:name="_Toc516749490"/>
      <w:bookmarkStart w:id="26" w:name="_Toc27846"/>
      <w:r>
        <w:rPr>
          <w:rFonts w:hint="eastAsia" w:ascii="宋体" w:hAnsi="宋体" w:eastAsia="宋体" w:cs="宋体"/>
          <w:sz w:val="28"/>
          <w:szCs w:val="28"/>
        </w:rPr>
        <w:t>3.2.1 模块A：工业设备</w:t>
      </w:r>
      <w:bookmarkEnd w:id="25"/>
      <w:r>
        <w:rPr>
          <w:rFonts w:hint="eastAsia" w:ascii="宋体" w:hAnsi="宋体" w:eastAsia="宋体" w:cs="宋体"/>
          <w:sz w:val="28"/>
          <w:szCs w:val="28"/>
        </w:rPr>
        <w:t>装调</w:t>
      </w:r>
      <w:bookmarkEnd w:id="26"/>
    </w:p>
    <w:p w14:paraId="38FCF090">
      <w:pPr>
        <w:keepNext w:val="0"/>
        <w:keepLines w:val="0"/>
        <w:pageBreakBefore w:val="0"/>
        <w:widowControl/>
        <w:kinsoku/>
        <w:wordWrap/>
        <w:overflowPunct/>
        <w:topLinePunct w:val="0"/>
        <w:autoSpaceDE/>
        <w:autoSpaceDN/>
        <w:bidi w:val="0"/>
        <w:adjustRightInd w:val="0"/>
        <w:snapToGrid w:val="0"/>
        <w:spacing w:after="0" w:line="440" w:lineRule="exact"/>
        <w:ind w:right="220" w:rightChars="10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针对工业互联网集成应用设备按工作任务，完成设备通信、点位和数据配置，并进行通讯配置，完成和工业互联网平台的初步调试；</w:t>
      </w:r>
    </w:p>
    <w:p w14:paraId="5DDEF6C3">
      <w:pPr>
        <w:keepNext w:val="0"/>
        <w:keepLines w:val="0"/>
        <w:pageBreakBefore w:val="0"/>
        <w:widowControl/>
        <w:kinsoku/>
        <w:wordWrap/>
        <w:overflowPunct/>
        <w:topLinePunct w:val="0"/>
        <w:autoSpaceDE/>
        <w:autoSpaceDN/>
        <w:bidi w:val="0"/>
        <w:adjustRightInd w:val="0"/>
        <w:snapToGrid w:val="0"/>
        <w:spacing w:after="0" w:line="440" w:lineRule="exact"/>
        <w:textAlignment w:val="auto"/>
        <w:outlineLvl w:val="3"/>
        <w:rPr>
          <w:rFonts w:hint="eastAsia" w:ascii="宋体" w:hAnsi="宋体" w:eastAsia="宋体" w:cs="宋体"/>
          <w:sz w:val="28"/>
          <w:szCs w:val="28"/>
        </w:rPr>
      </w:pPr>
      <w:bookmarkStart w:id="27" w:name="_Toc13281"/>
      <w:bookmarkStart w:id="28" w:name="_Toc584809962"/>
      <w:r>
        <w:rPr>
          <w:rFonts w:hint="eastAsia" w:ascii="宋体" w:hAnsi="宋体" w:eastAsia="宋体" w:cs="宋体"/>
          <w:sz w:val="28"/>
          <w:szCs w:val="28"/>
        </w:rPr>
        <w:t>3.2.2 模块B：工业互联网技术及应用开发</w:t>
      </w:r>
      <w:bookmarkEnd w:id="27"/>
      <w:bookmarkEnd w:id="28"/>
    </w:p>
    <w:p w14:paraId="5375C219">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z w:val="28"/>
          <w:szCs w:val="28"/>
        </w:rPr>
      </w:pPr>
      <w:r>
        <w:rPr>
          <w:rFonts w:hint="eastAsia" w:ascii="宋体" w:hAnsi="宋体" w:eastAsia="宋体" w:cs="宋体"/>
          <w:sz w:val="28"/>
          <w:szCs w:val="28"/>
        </w:rPr>
        <w:t>针对工业互联网应用方案完成工业互联网平台网络通讯设置、工业互联网云端数据采集技术应用、边缘计算及数据可视化应用设计、工业互联网标识解析服务应用等任务。使用工业互联网平台完成工业互联网从数据采集配置、工业互联网平台配置、工业应用软件低代码开发等。</w:t>
      </w:r>
    </w:p>
    <w:p w14:paraId="1A3DC26C">
      <w:pPr>
        <w:keepNext w:val="0"/>
        <w:keepLines w:val="0"/>
        <w:pageBreakBefore w:val="0"/>
        <w:widowControl/>
        <w:kinsoku/>
        <w:wordWrap/>
        <w:overflowPunct/>
        <w:topLinePunct w:val="0"/>
        <w:autoSpaceDE/>
        <w:autoSpaceDN/>
        <w:bidi w:val="0"/>
        <w:adjustRightInd w:val="0"/>
        <w:snapToGrid w:val="0"/>
        <w:spacing w:after="0" w:line="440" w:lineRule="exact"/>
        <w:textAlignment w:val="auto"/>
        <w:outlineLvl w:val="2"/>
        <w:rPr>
          <w:rFonts w:hint="eastAsia" w:ascii="宋体" w:hAnsi="宋体" w:eastAsia="宋体" w:cs="宋体"/>
          <w:sz w:val="28"/>
          <w:szCs w:val="28"/>
        </w:rPr>
      </w:pPr>
      <w:bookmarkStart w:id="29" w:name="_Toc25032"/>
      <w:bookmarkStart w:id="30" w:name="_Toc481314004"/>
      <w:bookmarkStart w:id="31" w:name="_Toc1901745162"/>
      <w:r>
        <w:rPr>
          <w:rFonts w:hint="eastAsia" w:ascii="宋体" w:hAnsi="宋体" w:eastAsia="宋体" w:cs="宋体"/>
          <w:sz w:val="28"/>
          <w:szCs w:val="28"/>
        </w:rPr>
        <w:t>3.3命题方式</w:t>
      </w:r>
      <w:bookmarkEnd w:id="29"/>
      <w:bookmarkEnd w:id="30"/>
      <w:bookmarkEnd w:id="31"/>
    </w:p>
    <w:p w14:paraId="1B1DBDB0">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z w:val="28"/>
          <w:szCs w:val="28"/>
        </w:rPr>
      </w:pPr>
      <w:bookmarkStart w:id="32" w:name="_Toc481314005"/>
      <w:r>
        <w:rPr>
          <w:rFonts w:hint="eastAsia" w:ascii="宋体" w:hAnsi="宋体" w:eastAsia="宋体" w:cs="宋体"/>
          <w:sz w:val="28"/>
          <w:szCs w:val="28"/>
        </w:rPr>
        <w:t>本项目竞赛题的命题方式：</w:t>
      </w:r>
    </w:p>
    <w:p w14:paraId="0F26FE8A">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z w:val="28"/>
          <w:szCs w:val="28"/>
        </w:rPr>
      </w:pPr>
      <w:r>
        <w:rPr>
          <w:rFonts w:hint="eastAsia" w:ascii="宋体" w:hAnsi="宋体" w:eastAsia="宋体" w:cs="宋体"/>
          <w:sz w:val="28"/>
          <w:szCs w:val="28"/>
        </w:rPr>
        <w:t>本项目为提前公布试题的项目，由裁判长根据本《技术描述》的思路及内容命制试题，并于赛前2周公布（包括试题、素材、评判标准）。决赛试题由裁判长主持裁判组在赛前对试题进行修订，修订比例一般不超过30%。修订时，裁判长须提供完整的修订方案，裁判组成员均可提出修订意见，最终修改由裁判长确定（或由裁判长发起举手表决通过确定），并由全体裁判签字确认。赛前不再重新公布决赛试题。</w:t>
      </w:r>
    </w:p>
    <w:p w14:paraId="5D362FFC">
      <w:pPr>
        <w:keepNext w:val="0"/>
        <w:keepLines w:val="0"/>
        <w:pageBreakBefore w:val="0"/>
        <w:widowControl/>
        <w:kinsoku/>
        <w:wordWrap/>
        <w:overflowPunct/>
        <w:topLinePunct w:val="0"/>
        <w:autoSpaceDE/>
        <w:autoSpaceDN/>
        <w:bidi w:val="0"/>
        <w:adjustRightInd w:val="0"/>
        <w:snapToGrid w:val="0"/>
        <w:spacing w:after="0" w:line="440" w:lineRule="exact"/>
        <w:textAlignment w:val="auto"/>
        <w:outlineLvl w:val="2"/>
        <w:rPr>
          <w:rFonts w:hint="eastAsia" w:ascii="宋体" w:hAnsi="宋体" w:eastAsia="宋体" w:cs="宋体"/>
          <w:sz w:val="28"/>
          <w:szCs w:val="28"/>
        </w:rPr>
      </w:pPr>
      <w:bookmarkStart w:id="33" w:name="_Toc1180"/>
      <w:bookmarkStart w:id="34" w:name="_Toc1631819433"/>
      <w:r>
        <w:rPr>
          <w:rFonts w:hint="eastAsia" w:ascii="宋体" w:hAnsi="宋体" w:eastAsia="宋体" w:cs="宋体"/>
          <w:sz w:val="28"/>
          <w:szCs w:val="28"/>
        </w:rPr>
        <w:t>3.4 命题方案</w:t>
      </w:r>
      <w:bookmarkEnd w:id="33"/>
      <w:bookmarkEnd w:id="34"/>
    </w:p>
    <w:p w14:paraId="1B31DA1A">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z w:val="28"/>
          <w:szCs w:val="28"/>
        </w:rPr>
      </w:pPr>
      <w:r>
        <w:rPr>
          <w:rFonts w:hint="eastAsia" w:ascii="宋体" w:hAnsi="宋体" w:eastAsia="宋体" w:cs="宋体"/>
          <w:sz w:val="28"/>
          <w:szCs w:val="28"/>
        </w:rPr>
        <w:t>参照《4-04-05-01计算机程序设计员国家职业标准》、《2-02-10-13工业互联网工程技术人员国家职业技术技能标准》等相关国家职业资格标准中级工要求，依据：GB/T 42021-2022《工业互联网 总体网络架构》、GB/T 23031.1-2022《工业互联网平台 应用实施指南 第1部分：总则》、GB/T 36626-2018《信息安全技术 信息系统安全运维管理指南》、T/MIITEC 003-2020《工业互联网产业人才岗位能力要求》、.AII/001-2017《工业互联网 通用要求》、.AII/001-2017《工业互联网 导则 设备智能化》、GB/T 33008.1-2016《工业自动化和控制系统网络安全可编程序控制器（PLC） 第1部分：系统要求》、GB/T 41724-2022《云制造服务平台边缘智能网关架构》、GB/T 41778-2022</w:t>
      </w:r>
      <w:r>
        <w:rPr>
          <w:rFonts w:hint="eastAsia" w:ascii="宋体" w:hAnsi="宋体" w:eastAsia="宋体" w:cs="宋体"/>
          <w:sz w:val="28"/>
          <w:szCs w:val="28"/>
        </w:rPr>
        <w:tab/>
      </w:r>
      <w:r>
        <w:rPr>
          <w:rFonts w:hint="eastAsia" w:ascii="宋体" w:hAnsi="宋体" w:eastAsia="宋体" w:cs="宋体"/>
          <w:sz w:val="28"/>
          <w:szCs w:val="28"/>
        </w:rPr>
        <w:t>《信息技术 工业大数据 术语》等相关技术标标准出具相关试题。赛题主要包括竞赛平台的工业设备调试、工业互联网设备配置、工业互联网平台配置及工业APP开发等方面进行设计，涵盖赛项技术能力要求。同时在赛题设计中增加职业素养内容。</w:t>
      </w:r>
    </w:p>
    <w:p w14:paraId="621A1329">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z w:val="28"/>
          <w:szCs w:val="28"/>
        </w:rPr>
      </w:pPr>
      <w:r>
        <w:rPr>
          <w:rFonts w:hint="eastAsia" w:ascii="宋体" w:hAnsi="宋体" w:eastAsia="宋体" w:cs="宋体"/>
          <w:sz w:val="28"/>
          <w:szCs w:val="28"/>
        </w:rPr>
        <w:t>本项目为须对试题保密的项目。由裁判长签署保密责任书后，根据本《技术描述》的思路及内容独立负责试题的命制、印刷及保密工作，赛前不再重新公布。</w:t>
      </w:r>
    </w:p>
    <w:p w14:paraId="7A35A102">
      <w:pPr>
        <w:keepNext w:val="0"/>
        <w:keepLines w:val="0"/>
        <w:pageBreakBefore w:val="0"/>
        <w:widowControl/>
        <w:kinsoku/>
        <w:wordWrap/>
        <w:overflowPunct/>
        <w:topLinePunct w:val="0"/>
        <w:autoSpaceDE/>
        <w:autoSpaceDN/>
        <w:bidi w:val="0"/>
        <w:adjustRightInd w:val="0"/>
        <w:snapToGrid w:val="0"/>
        <w:spacing w:after="0" w:line="440" w:lineRule="exact"/>
        <w:textAlignment w:val="auto"/>
        <w:outlineLvl w:val="1"/>
        <w:rPr>
          <w:rFonts w:hint="eastAsia" w:ascii="宋体" w:hAnsi="宋体" w:eastAsia="宋体" w:cs="宋体"/>
          <w:sz w:val="28"/>
          <w:szCs w:val="28"/>
        </w:rPr>
      </w:pPr>
      <w:bookmarkStart w:id="35" w:name="_Toc13303"/>
      <w:bookmarkStart w:id="36" w:name="_Toc475554594"/>
      <w:r>
        <w:rPr>
          <w:rFonts w:hint="eastAsia" w:ascii="宋体" w:hAnsi="宋体" w:eastAsia="宋体" w:cs="宋体"/>
          <w:sz w:val="28"/>
          <w:szCs w:val="28"/>
        </w:rPr>
        <w:t>4.评分规则</w:t>
      </w:r>
      <w:bookmarkEnd w:id="32"/>
      <w:bookmarkEnd w:id="35"/>
      <w:bookmarkEnd w:id="36"/>
    </w:p>
    <w:p w14:paraId="51A3D2DD">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本次评分规则参照世界技能大赛评分规则执行。本项目评分标准为测量和评价两类。凡可采用客观数据表述的评判称为测量；凡需要采用主观描述进行的评判称为评价。</w:t>
      </w:r>
    </w:p>
    <w:p w14:paraId="22020C3E">
      <w:pPr>
        <w:keepNext w:val="0"/>
        <w:keepLines w:val="0"/>
        <w:pageBreakBefore w:val="0"/>
        <w:widowControl/>
        <w:kinsoku/>
        <w:wordWrap/>
        <w:overflowPunct/>
        <w:topLinePunct w:val="0"/>
        <w:autoSpaceDE/>
        <w:autoSpaceDN/>
        <w:bidi w:val="0"/>
        <w:adjustRightInd w:val="0"/>
        <w:snapToGrid w:val="0"/>
        <w:spacing w:after="0" w:line="440" w:lineRule="exact"/>
        <w:textAlignment w:val="auto"/>
        <w:outlineLvl w:val="2"/>
        <w:rPr>
          <w:rFonts w:hint="eastAsia" w:ascii="宋体" w:hAnsi="宋体" w:eastAsia="宋体" w:cs="宋体"/>
          <w:sz w:val="28"/>
          <w:szCs w:val="28"/>
        </w:rPr>
      </w:pPr>
      <w:bookmarkStart w:id="37" w:name="_Toc481314006"/>
      <w:bookmarkStart w:id="38" w:name="_Toc1859410871"/>
      <w:bookmarkStart w:id="39" w:name="_Toc17940"/>
      <w:r>
        <w:rPr>
          <w:rFonts w:hint="eastAsia" w:ascii="宋体" w:hAnsi="宋体" w:eastAsia="宋体" w:cs="宋体"/>
          <w:sz w:val="28"/>
          <w:szCs w:val="28"/>
        </w:rPr>
        <w:t>4.1 评价分</w:t>
      </w:r>
      <w:bookmarkEnd w:id="37"/>
      <w:r>
        <w:rPr>
          <w:rFonts w:hint="eastAsia" w:ascii="宋体" w:hAnsi="宋体" w:eastAsia="宋体" w:cs="宋体"/>
          <w:sz w:val="28"/>
          <w:szCs w:val="28"/>
        </w:rPr>
        <w:t>（主观）</w:t>
      </w:r>
      <w:bookmarkEnd w:id="38"/>
      <w:bookmarkEnd w:id="39"/>
    </w:p>
    <w:p w14:paraId="3B2585B3">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z w:val="28"/>
          <w:szCs w:val="28"/>
        </w:rPr>
      </w:pPr>
      <w:r>
        <w:rPr>
          <w:rFonts w:hint="eastAsia" w:ascii="宋体" w:hAnsi="宋体" w:eastAsia="宋体" w:cs="宋体"/>
          <w:sz w:val="28"/>
          <w:szCs w:val="28"/>
        </w:rPr>
        <w:t>评价分主要是针对职业规范、团队协作、组织管理、工作计划、团队风貌等方面的职业素养成绩。</w:t>
      </w:r>
    </w:p>
    <w:p w14:paraId="6870BF2A">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z w:val="28"/>
          <w:szCs w:val="28"/>
        </w:rPr>
      </w:pPr>
      <w:r>
        <w:rPr>
          <w:rFonts w:hint="eastAsia" w:ascii="宋体" w:hAnsi="宋体" w:eastAsia="宋体" w:cs="宋体"/>
          <w:sz w:val="28"/>
          <w:szCs w:val="28"/>
        </w:rPr>
        <w:t>评价分（Judgement）打分方式：3名裁判为一组，各自单独评分，计算出平均权重分，除以3后再乘以该子项的分值计算出实际得分。裁判相互间分差必须小于等于1分，否则需要给出确切理由并在小组长或裁判长的监督下进行调分。</w:t>
      </w:r>
    </w:p>
    <w:p w14:paraId="03DA9C25">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z w:val="28"/>
          <w:szCs w:val="28"/>
        </w:rPr>
      </w:pPr>
      <w:r>
        <w:rPr>
          <w:rFonts w:hint="eastAsia" w:ascii="宋体" w:hAnsi="宋体" w:eastAsia="宋体" w:cs="宋体"/>
          <w:sz w:val="28"/>
          <w:szCs w:val="28"/>
        </w:rPr>
        <w:t>权重表如下：</w:t>
      </w:r>
    </w:p>
    <w:tbl>
      <w:tblPr>
        <w:tblStyle w:val="11"/>
        <w:tblW w:w="8522"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510"/>
        <w:gridCol w:w="7012"/>
      </w:tblGrid>
      <w:tr w14:paraId="1D0C4B9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10" w:type="dxa"/>
            <w:tcBorders>
              <w:top w:val="single" w:color="auto" w:sz="12" w:space="0"/>
            </w:tcBorders>
            <w:vAlign w:val="center"/>
          </w:tcPr>
          <w:p w14:paraId="2E6C5E41">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b/>
                <w:sz w:val="28"/>
                <w:szCs w:val="28"/>
              </w:rPr>
            </w:pPr>
            <w:r>
              <w:rPr>
                <w:rFonts w:hint="eastAsia" w:ascii="宋体" w:hAnsi="宋体" w:eastAsia="宋体" w:cs="宋体"/>
                <w:b/>
                <w:sz w:val="28"/>
                <w:szCs w:val="28"/>
              </w:rPr>
              <w:t>权重分值</w:t>
            </w:r>
          </w:p>
        </w:tc>
        <w:tc>
          <w:tcPr>
            <w:tcW w:w="7012" w:type="dxa"/>
            <w:tcBorders>
              <w:top w:val="single" w:color="auto" w:sz="12" w:space="0"/>
            </w:tcBorders>
            <w:vAlign w:val="center"/>
          </w:tcPr>
          <w:p w14:paraId="3BB4C89F">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b/>
                <w:sz w:val="28"/>
                <w:szCs w:val="28"/>
              </w:rPr>
            </w:pPr>
            <w:r>
              <w:rPr>
                <w:rFonts w:hint="eastAsia" w:ascii="宋体" w:hAnsi="宋体" w:eastAsia="宋体" w:cs="宋体"/>
                <w:b/>
                <w:sz w:val="28"/>
                <w:szCs w:val="28"/>
              </w:rPr>
              <w:t>要求描述</w:t>
            </w:r>
          </w:p>
        </w:tc>
      </w:tr>
      <w:tr w14:paraId="4B3920B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10" w:type="dxa"/>
            <w:vAlign w:val="center"/>
          </w:tcPr>
          <w:p w14:paraId="092775A8">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0分</w:t>
            </w:r>
          </w:p>
        </w:tc>
        <w:tc>
          <w:tcPr>
            <w:tcW w:w="7012" w:type="dxa"/>
            <w:vAlign w:val="center"/>
          </w:tcPr>
          <w:p w14:paraId="50E02E81">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cs="宋体"/>
                <w:sz w:val="28"/>
                <w:szCs w:val="28"/>
              </w:rPr>
            </w:pPr>
            <w:r>
              <w:rPr>
                <w:rFonts w:hint="eastAsia" w:ascii="宋体" w:hAnsi="宋体" w:eastAsia="宋体" w:cs="宋体"/>
                <w:sz w:val="28"/>
                <w:szCs w:val="28"/>
              </w:rPr>
              <w:t>各方面均低于行业标准，包括“未做尝试”</w:t>
            </w:r>
          </w:p>
        </w:tc>
      </w:tr>
      <w:tr w14:paraId="66D2BC7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10" w:type="dxa"/>
            <w:vAlign w:val="center"/>
          </w:tcPr>
          <w:p w14:paraId="0E842D5D">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2分</w:t>
            </w:r>
          </w:p>
        </w:tc>
        <w:tc>
          <w:tcPr>
            <w:tcW w:w="7012" w:type="dxa"/>
            <w:vAlign w:val="center"/>
          </w:tcPr>
          <w:p w14:paraId="079EE4D9">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cs="宋体"/>
                <w:sz w:val="28"/>
                <w:szCs w:val="28"/>
              </w:rPr>
            </w:pPr>
            <w:r>
              <w:rPr>
                <w:rFonts w:hint="eastAsia" w:ascii="宋体" w:hAnsi="宋体" w:eastAsia="宋体" w:cs="宋体"/>
                <w:sz w:val="28"/>
                <w:szCs w:val="28"/>
              </w:rPr>
              <w:t>达到行业标准</w:t>
            </w:r>
          </w:p>
        </w:tc>
      </w:tr>
      <w:tr w14:paraId="0F35D3F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10" w:type="dxa"/>
            <w:vAlign w:val="center"/>
          </w:tcPr>
          <w:p w14:paraId="749A1FFD">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3分</w:t>
            </w:r>
          </w:p>
        </w:tc>
        <w:tc>
          <w:tcPr>
            <w:tcW w:w="7012" w:type="dxa"/>
            <w:vAlign w:val="center"/>
          </w:tcPr>
          <w:p w14:paraId="30BD0011">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cs="宋体"/>
                <w:sz w:val="28"/>
                <w:szCs w:val="28"/>
              </w:rPr>
            </w:pPr>
            <w:r>
              <w:rPr>
                <w:rFonts w:hint="eastAsia" w:ascii="宋体" w:hAnsi="宋体" w:eastAsia="宋体" w:cs="宋体"/>
                <w:sz w:val="28"/>
                <w:szCs w:val="28"/>
              </w:rPr>
              <w:t>达到行业标准，且某些方面超过标准</w:t>
            </w:r>
          </w:p>
        </w:tc>
      </w:tr>
      <w:tr w14:paraId="432FC70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10" w:type="dxa"/>
            <w:tcBorders>
              <w:bottom w:val="single" w:color="auto" w:sz="12" w:space="0"/>
            </w:tcBorders>
            <w:vAlign w:val="center"/>
          </w:tcPr>
          <w:p w14:paraId="0146205B">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5分</w:t>
            </w:r>
          </w:p>
        </w:tc>
        <w:tc>
          <w:tcPr>
            <w:tcW w:w="7012" w:type="dxa"/>
            <w:tcBorders>
              <w:bottom w:val="single" w:color="auto" w:sz="12" w:space="0"/>
            </w:tcBorders>
            <w:vAlign w:val="center"/>
          </w:tcPr>
          <w:p w14:paraId="78F16C5B">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cs="宋体"/>
                <w:sz w:val="28"/>
                <w:szCs w:val="28"/>
              </w:rPr>
            </w:pPr>
            <w:r>
              <w:rPr>
                <w:rFonts w:hint="eastAsia" w:ascii="宋体" w:hAnsi="宋体" w:eastAsia="宋体" w:cs="宋体"/>
                <w:sz w:val="28"/>
                <w:szCs w:val="28"/>
              </w:rPr>
              <w:t>达到行业期待的优秀水平</w:t>
            </w:r>
          </w:p>
        </w:tc>
      </w:tr>
    </w:tbl>
    <w:p w14:paraId="5BB3C8BE">
      <w:pPr>
        <w:keepNext w:val="0"/>
        <w:keepLines w:val="0"/>
        <w:pageBreakBefore w:val="0"/>
        <w:widowControl/>
        <w:kinsoku/>
        <w:wordWrap/>
        <w:overflowPunct/>
        <w:topLinePunct w:val="0"/>
        <w:autoSpaceDE/>
        <w:autoSpaceDN/>
        <w:bidi w:val="0"/>
        <w:adjustRightInd w:val="0"/>
        <w:snapToGrid w:val="0"/>
        <w:spacing w:after="0" w:line="440" w:lineRule="exact"/>
        <w:textAlignment w:val="auto"/>
        <w:outlineLvl w:val="2"/>
        <w:rPr>
          <w:rFonts w:hint="eastAsia" w:ascii="宋体" w:hAnsi="宋体" w:eastAsia="宋体" w:cs="宋体"/>
          <w:sz w:val="28"/>
          <w:szCs w:val="28"/>
        </w:rPr>
      </w:pPr>
      <w:bookmarkStart w:id="40" w:name="_Toc481314007"/>
      <w:bookmarkStart w:id="41" w:name="_Toc936477753"/>
      <w:bookmarkStart w:id="42" w:name="_Toc14372"/>
      <w:r>
        <w:rPr>
          <w:rFonts w:hint="eastAsia" w:ascii="宋体" w:hAnsi="宋体" w:eastAsia="宋体" w:cs="宋体"/>
          <w:sz w:val="28"/>
          <w:szCs w:val="28"/>
        </w:rPr>
        <w:t>4.2 测量分</w:t>
      </w:r>
      <w:bookmarkEnd w:id="40"/>
      <w:r>
        <w:rPr>
          <w:rFonts w:hint="eastAsia" w:ascii="宋体" w:hAnsi="宋体" w:eastAsia="宋体" w:cs="宋体"/>
          <w:sz w:val="28"/>
          <w:szCs w:val="28"/>
        </w:rPr>
        <w:t>（客观）</w:t>
      </w:r>
      <w:bookmarkEnd w:id="41"/>
      <w:bookmarkEnd w:id="42"/>
    </w:p>
    <w:p w14:paraId="7D972C01">
      <w:pPr>
        <w:keepNext w:val="0"/>
        <w:keepLines w:val="0"/>
        <w:pageBreakBefore w:val="0"/>
        <w:widowControl/>
        <w:kinsoku/>
        <w:wordWrap/>
        <w:overflowPunct/>
        <w:topLinePunct w:val="0"/>
        <w:autoSpaceDE/>
        <w:autoSpaceDN/>
        <w:bidi w:val="0"/>
        <w:adjustRightInd w:val="0"/>
        <w:snapToGrid w:val="0"/>
        <w:spacing w:after="0" w:line="440" w:lineRule="exact"/>
        <w:ind w:firstLine="420"/>
        <w:textAlignment w:val="auto"/>
        <w:rPr>
          <w:rFonts w:hint="eastAsia" w:ascii="宋体" w:hAnsi="宋体" w:eastAsia="宋体" w:cs="宋体"/>
          <w:sz w:val="28"/>
          <w:szCs w:val="28"/>
        </w:rPr>
      </w:pPr>
      <w:bookmarkStart w:id="43" w:name="OLE_LINK9"/>
      <w:bookmarkStart w:id="44" w:name="OLE_LINK10"/>
      <w:r>
        <w:rPr>
          <w:rFonts w:hint="eastAsia" w:ascii="宋体" w:hAnsi="宋体" w:eastAsia="宋体" w:cs="宋体"/>
          <w:sz w:val="28"/>
          <w:szCs w:val="28"/>
        </w:rPr>
        <w:t>测量分（Measurement）打分方式：按模块设置若干个评分组，每组由2名及以上裁判构成。每个组所有裁判一起商议，在对该选手在该项中的实际得分达成一致后最终只给出一个分值。若裁判数量较多，也可以另定分组模式。</w:t>
      </w:r>
    </w:p>
    <w:p w14:paraId="058E5886">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z w:val="28"/>
          <w:szCs w:val="28"/>
        </w:rPr>
      </w:pPr>
      <w:r>
        <w:rPr>
          <w:rFonts w:hint="eastAsia" w:ascii="宋体" w:hAnsi="宋体" w:eastAsia="宋体" w:cs="宋体"/>
          <w:sz w:val="28"/>
          <w:szCs w:val="28"/>
        </w:rPr>
        <w:t>测量分评分准则样例表：</w:t>
      </w:r>
    </w:p>
    <w:bookmarkEnd w:id="43"/>
    <w:bookmarkEnd w:id="44"/>
    <w:tbl>
      <w:tblPr>
        <w:tblStyle w:val="11"/>
        <w:tblW w:w="8510" w:type="dxa"/>
        <w:jc w:val="center"/>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
      <w:tblGrid>
        <w:gridCol w:w="1659"/>
        <w:gridCol w:w="2837"/>
        <w:gridCol w:w="1377"/>
        <w:gridCol w:w="1277"/>
        <w:gridCol w:w="1360"/>
      </w:tblGrid>
      <w:tr w14:paraId="53BB81EE">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1659" w:type="dxa"/>
            <w:tcBorders>
              <w:top w:val="single" w:color="000000" w:sz="12" w:space="0"/>
            </w:tcBorders>
            <w:vAlign w:val="center"/>
          </w:tcPr>
          <w:p w14:paraId="0237CD66">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类型</w:t>
            </w:r>
          </w:p>
        </w:tc>
        <w:tc>
          <w:tcPr>
            <w:tcW w:w="2837" w:type="dxa"/>
            <w:tcBorders>
              <w:top w:val="single" w:color="000000" w:sz="12" w:space="0"/>
            </w:tcBorders>
            <w:vAlign w:val="center"/>
          </w:tcPr>
          <w:p w14:paraId="6359C680">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任务</w:t>
            </w:r>
          </w:p>
        </w:tc>
        <w:tc>
          <w:tcPr>
            <w:tcW w:w="1377" w:type="dxa"/>
            <w:tcBorders>
              <w:top w:val="single" w:color="000000" w:sz="12" w:space="0"/>
            </w:tcBorders>
            <w:vAlign w:val="center"/>
          </w:tcPr>
          <w:p w14:paraId="182149DB">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最高分值</w:t>
            </w:r>
          </w:p>
        </w:tc>
        <w:tc>
          <w:tcPr>
            <w:tcW w:w="1277" w:type="dxa"/>
            <w:tcBorders>
              <w:top w:val="single" w:color="000000" w:sz="12" w:space="0"/>
            </w:tcBorders>
            <w:vAlign w:val="center"/>
          </w:tcPr>
          <w:p w14:paraId="537A9F21">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正确分值</w:t>
            </w:r>
          </w:p>
        </w:tc>
        <w:tc>
          <w:tcPr>
            <w:tcW w:w="1360" w:type="dxa"/>
            <w:tcBorders>
              <w:top w:val="single" w:color="000000" w:sz="12" w:space="0"/>
            </w:tcBorders>
            <w:vAlign w:val="center"/>
          </w:tcPr>
          <w:p w14:paraId="66BC78ED">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不正确分值</w:t>
            </w:r>
          </w:p>
        </w:tc>
      </w:tr>
      <w:tr w14:paraId="46839A87">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1659" w:type="dxa"/>
            <w:vAlign w:val="center"/>
          </w:tcPr>
          <w:p w14:paraId="76706FCB">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从满分中扣除</w:t>
            </w:r>
          </w:p>
        </w:tc>
        <w:tc>
          <w:tcPr>
            <w:tcW w:w="2837" w:type="dxa"/>
            <w:vAlign w:val="center"/>
          </w:tcPr>
          <w:p w14:paraId="087151D3">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工业设备调试</w:t>
            </w:r>
          </w:p>
        </w:tc>
        <w:tc>
          <w:tcPr>
            <w:tcW w:w="1377" w:type="dxa"/>
            <w:shd w:val="clear" w:color="auto" w:fill="auto"/>
            <w:vAlign w:val="center"/>
          </w:tcPr>
          <w:p w14:paraId="7F525464">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color w:val="000000"/>
                <w:sz w:val="28"/>
                <w:szCs w:val="28"/>
              </w:rPr>
              <w:t>15</w:t>
            </w:r>
          </w:p>
        </w:tc>
        <w:tc>
          <w:tcPr>
            <w:tcW w:w="1277" w:type="dxa"/>
            <w:shd w:val="clear" w:color="auto" w:fill="auto"/>
            <w:vAlign w:val="center"/>
          </w:tcPr>
          <w:p w14:paraId="0261492D">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color w:val="000000"/>
                <w:sz w:val="28"/>
                <w:szCs w:val="28"/>
              </w:rPr>
              <w:t>15</w:t>
            </w:r>
          </w:p>
        </w:tc>
        <w:tc>
          <w:tcPr>
            <w:tcW w:w="1360" w:type="dxa"/>
            <w:vAlign w:val="center"/>
          </w:tcPr>
          <w:p w14:paraId="6F66816E">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按任务要求每项减1分</w:t>
            </w:r>
          </w:p>
        </w:tc>
      </w:tr>
      <w:tr w14:paraId="3CECC21F">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1659" w:type="dxa"/>
            <w:vAlign w:val="center"/>
          </w:tcPr>
          <w:p w14:paraId="602B3B42">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从满分中扣除</w:t>
            </w:r>
          </w:p>
        </w:tc>
        <w:tc>
          <w:tcPr>
            <w:tcW w:w="2837" w:type="dxa"/>
            <w:vAlign w:val="center"/>
          </w:tcPr>
          <w:p w14:paraId="13A0A5D6">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工业设备云平台数据采集</w:t>
            </w:r>
          </w:p>
        </w:tc>
        <w:tc>
          <w:tcPr>
            <w:tcW w:w="1377" w:type="dxa"/>
            <w:vAlign w:val="center"/>
          </w:tcPr>
          <w:p w14:paraId="6DA63128">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33</w:t>
            </w:r>
          </w:p>
        </w:tc>
        <w:tc>
          <w:tcPr>
            <w:tcW w:w="1277" w:type="dxa"/>
            <w:vAlign w:val="center"/>
          </w:tcPr>
          <w:p w14:paraId="4B46E16F">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33</w:t>
            </w:r>
          </w:p>
        </w:tc>
        <w:tc>
          <w:tcPr>
            <w:tcW w:w="1360" w:type="dxa"/>
            <w:vAlign w:val="center"/>
          </w:tcPr>
          <w:p w14:paraId="58067FEE">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按任务要求每项减1分</w:t>
            </w:r>
          </w:p>
        </w:tc>
      </w:tr>
      <w:tr w14:paraId="4D5E99CC">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659" w:type="dxa"/>
            <w:vAlign w:val="center"/>
          </w:tcPr>
          <w:p w14:paraId="0B5685AF">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从满分中扣除</w:t>
            </w:r>
          </w:p>
        </w:tc>
        <w:tc>
          <w:tcPr>
            <w:tcW w:w="2837" w:type="dxa"/>
            <w:vAlign w:val="center"/>
          </w:tcPr>
          <w:p w14:paraId="2D0508F5">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工业设备数据可视化系统设计与实施</w:t>
            </w:r>
          </w:p>
        </w:tc>
        <w:tc>
          <w:tcPr>
            <w:tcW w:w="1377" w:type="dxa"/>
            <w:vAlign w:val="center"/>
          </w:tcPr>
          <w:p w14:paraId="21503A7D">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20</w:t>
            </w:r>
          </w:p>
        </w:tc>
        <w:tc>
          <w:tcPr>
            <w:tcW w:w="1277" w:type="dxa"/>
            <w:vAlign w:val="center"/>
          </w:tcPr>
          <w:p w14:paraId="1A5A2143">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20</w:t>
            </w:r>
          </w:p>
        </w:tc>
        <w:tc>
          <w:tcPr>
            <w:tcW w:w="1360" w:type="dxa"/>
            <w:vAlign w:val="center"/>
          </w:tcPr>
          <w:p w14:paraId="089491E7">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按任务要求每项减1分</w:t>
            </w:r>
          </w:p>
        </w:tc>
      </w:tr>
      <w:tr w14:paraId="40F01137">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1659" w:type="dxa"/>
            <w:vAlign w:val="center"/>
          </w:tcPr>
          <w:p w14:paraId="01A618C2">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从满分中扣除</w:t>
            </w:r>
          </w:p>
        </w:tc>
        <w:tc>
          <w:tcPr>
            <w:tcW w:w="2837" w:type="dxa"/>
            <w:vAlign w:val="center"/>
          </w:tcPr>
          <w:p w14:paraId="54F6494D">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工业互联网标识解析服务应用</w:t>
            </w:r>
          </w:p>
        </w:tc>
        <w:tc>
          <w:tcPr>
            <w:tcW w:w="1377" w:type="dxa"/>
            <w:vAlign w:val="center"/>
          </w:tcPr>
          <w:p w14:paraId="2B5CA558">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12</w:t>
            </w:r>
          </w:p>
        </w:tc>
        <w:tc>
          <w:tcPr>
            <w:tcW w:w="1277" w:type="dxa"/>
            <w:vAlign w:val="center"/>
          </w:tcPr>
          <w:p w14:paraId="4E468414">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12</w:t>
            </w:r>
          </w:p>
        </w:tc>
        <w:tc>
          <w:tcPr>
            <w:tcW w:w="1360" w:type="dxa"/>
            <w:vAlign w:val="center"/>
          </w:tcPr>
          <w:p w14:paraId="63E741C6">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按任务要求每项减1分</w:t>
            </w:r>
          </w:p>
        </w:tc>
      </w:tr>
      <w:tr w14:paraId="76E64392">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1659" w:type="dxa"/>
            <w:vAlign w:val="center"/>
          </w:tcPr>
          <w:p w14:paraId="6C28CE7E">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从满分中扣除</w:t>
            </w:r>
          </w:p>
        </w:tc>
        <w:tc>
          <w:tcPr>
            <w:tcW w:w="2837" w:type="dxa"/>
            <w:vAlign w:val="center"/>
          </w:tcPr>
          <w:p w14:paraId="5A41DE42">
            <w:pPr>
              <w:keepNext w:val="0"/>
              <w:keepLines w:val="0"/>
              <w:pageBreakBefore w:val="0"/>
              <w:widowControl/>
              <w:kinsoku/>
              <w:wordWrap/>
              <w:overflowPunct/>
              <w:topLinePunct w:val="0"/>
              <w:autoSpaceDE/>
              <w:autoSpaceDN/>
              <w:bidi w:val="0"/>
              <w:adjustRightInd w:val="0"/>
              <w:snapToGrid w:val="0"/>
              <w:spacing w:after="0" w:line="44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利用AIGC生成实施报告</w:t>
            </w:r>
          </w:p>
        </w:tc>
        <w:tc>
          <w:tcPr>
            <w:tcW w:w="1377" w:type="dxa"/>
            <w:vAlign w:val="center"/>
          </w:tcPr>
          <w:p w14:paraId="409275B8">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15</w:t>
            </w:r>
          </w:p>
        </w:tc>
        <w:tc>
          <w:tcPr>
            <w:tcW w:w="1277" w:type="dxa"/>
            <w:vAlign w:val="center"/>
          </w:tcPr>
          <w:p w14:paraId="50C7C76F">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15</w:t>
            </w:r>
          </w:p>
        </w:tc>
        <w:tc>
          <w:tcPr>
            <w:tcW w:w="1360" w:type="dxa"/>
            <w:vAlign w:val="center"/>
          </w:tcPr>
          <w:p w14:paraId="23A2D0B4">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按任务要求每项减1分</w:t>
            </w:r>
          </w:p>
        </w:tc>
      </w:tr>
    </w:tbl>
    <w:p w14:paraId="288E60FE">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cs="宋体"/>
          <w:b/>
          <w:bCs/>
          <w:sz w:val="28"/>
          <w:szCs w:val="28"/>
        </w:rPr>
      </w:pPr>
      <w:r>
        <w:rPr>
          <w:rFonts w:hint="eastAsia" w:ascii="宋体" w:hAnsi="宋体" w:eastAsia="宋体" w:cs="宋体"/>
          <w:b/>
          <w:bCs/>
          <w:sz w:val="28"/>
          <w:szCs w:val="28"/>
        </w:rPr>
        <w:t>模块A：工业设备调试</w:t>
      </w:r>
    </w:p>
    <w:p w14:paraId="48726DF2">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z w:val="28"/>
          <w:szCs w:val="28"/>
        </w:rPr>
      </w:pPr>
      <w:r>
        <w:rPr>
          <w:rFonts w:hint="eastAsia" w:ascii="宋体" w:hAnsi="宋体" w:eastAsia="宋体" w:cs="宋体"/>
          <w:sz w:val="28"/>
          <w:szCs w:val="28"/>
        </w:rPr>
        <w:t>满分15分，分为1、2两个任务，详细评分细则如下：</w:t>
      </w:r>
    </w:p>
    <w:tbl>
      <w:tblPr>
        <w:tblStyle w:val="11"/>
        <w:tblW w:w="4998"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1176"/>
        <w:gridCol w:w="1575"/>
        <w:gridCol w:w="1981"/>
        <w:gridCol w:w="1221"/>
        <w:gridCol w:w="1224"/>
        <w:gridCol w:w="1342"/>
      </w:tblGrid>
      <w:tr w14:paraId="47D963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25" w:hRule="atLeast"/>
          <w:jc w:val="center"/>
        </w:trPr>
        <w:tc>
          <w:tcPr>
            <w:tcW w:w="690" w:type="pct"/>
            <w:shd w:val="clear" w:color="auto" w:fill="D0CECE"/>
            <w:vAlign w:val="center"/>
          </w:tcPr>
          <w:p w14:paraId="123B7FAD">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类型</w:t>
            </w:r>
          </w:p>
        </w:tc>
        <w:tc>
          <w:tcPr>
            <w:tcW w:w="924" w:type="pct"/>
            <w:shd w:val="clear" w:color="auto" w:fill="D0CECE"/>
            <w:vAlign w:val="center"/>
          </w:tcPr>
          <w:p w14:paraId="2DE97477">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任务</w:t>
            </w:r>
          </w:p>
        </w:tc>
        <w:tc>
          <w:tcPr>
            <w:tcW w:w="1162" w:type="pct"/>
            <w:shd w:val="clear" w:color="auto" w:fill="D0CECE"/>
            <w:vAlign w:val="center"/>
          </w:tcPr>
          <w:p w14:paraId="2D2764BE">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评分要求</w:t>
            </w:r>
          </w:p>
        </w:tc>
        <w:tc>
          <w:tcPr>
            <w:tcW w:w="716" w:type="pct"/>
            <w:shd w:val="clear" w:color="auto" w:fill="D0CECE"/>
            <w:vAlign w:val="center"/>
          </w:tcPr>
          <w:p w14:paraId="51AB00B3">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最高分值</w:t>
            </w:r>
          </w:p>
        </w:tc>
        <w:tc>
          <w:tcPr>
            <w:tcW w:w="718" w:type="pct"/>
            <w:shd w:val="clear" w:color="auto" w:fill="D0CECE"/>
            <w:vAlign w:val="center"/>
          </w:tcPr>
          <w:p w14:paraId="23B313C8">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正确分值</w:t>
            </w:r>
          </w:p>
        </w:tc>
        <w:tc>
          <w:tcPr>
            <w:tcW w:w="787" w:type="pct"/>
            <w:shd w:val="clear" w:color="auto" w:fill="D0CECE"/>
            <w:vAlign w:val="center"/>
          </w:tcPr>
          <w:p w14:paraId="15503F59">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不正确分值</w:t>
            </w:r>
          </w:p>
        </w:tc>
      </w:tr>
      <w:tr w14:paraId="616EAD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90" w:hRule="atLeast"/>
          <w:jc w:val="center"/>
        </w:trPr>
        <w:tc>
          <w:tcPr>
            <w:tcW w:w="690" w:type="pct"/>
            <w:vAlign w:val="center"/>
          </w:tcPr>
          <w:p w14:paraId="695878F2">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从满分中扣除</w:t>
            </w:r>
          </w:p>
        </w:tc>
        <w:tc>
          <w:tcPr>
            <w:tcW w:w="924" w:type="pct"/>
            <w:vAlign w:val="center"/>
          </w:tcPr>
          <w:p w14:paraId="342340AE">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任务1：设备通信配置</w:t>
            </w:r>
          </w:p>
        </w:tc>
        <w:tc>
          <w:tcPr>
            <w:tcW w:w="1162" w:type="pct"/>
            <w:vAlign w:val="center"/>
          </w:tcPr>
          <w:p w14:paraId="5C08452D">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设备通信配置</w:t>
            </w:r>
          </w:p>
        </w:tc>
        <w:tc>
          <w:tcPr>
            <w:tcW w:w="716" w:type="pct"/>
            <w:vAlign w:val="center"/>
          </w:tcPr>
          <w:p w14:paraId="064A0E35">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color w:val="000000"/>
                <w:sz w:val="28"/>
                <w:szCs w:val="28"/>
              </w:rPr>
              <w:t>5</w:t>
            </w:r>
          </w:p>
        </w:tc>
        <w:tc>
          <w:tcPr>
            <w:tcW w:w="1224" w:type="dxa"/>
            <w:vAlign w:val="center"/>
          </w:tcPr>
          <w:p w14:paraId="1AB34957">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color w:val="000000"/>
                <w:sz w:val="28"/>
                <w:szCs w:val="28"/>
              </w:rPr>
              <w:t>5</w:t>
            </w:r>
          </w:p>
        </w:tc>
        <w:tc>
          <w:tcPr>
            <w:tcW w:w="787" w:type="pct"/>
            <w:vAlign w:val="center"/>
          </w:tcPr>
          <w:p w14:paraId="625EB213">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按任务要求每项减1分</w:t>
            </w:r>
          </w:p>
        </w:tc>
      </w:tr>
      <w:tr w14:paraId="307DB3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102" w:hRule="atLeast"/>
          <w:jc w:val="center"/>
        </w:trPr>
        <w:tc>
          <w:tcPr>
            <w:tcW w:w="690" w:type="pct"/>
            <w:vAlign w:val="center"/>
          </w:tcPr>
          <w:p w14:paraId="1906A164">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从满分中扣除</w:t>
            </w:r>
          </w:p>
        </w:tc>
        <w:tc>
          <w:tcPr>
            <w:tcW w:w="924" w:type="pct"/>
            <w:vAlign w:val="center"/>
          </w:tcPr>
          <w:p w14:paraId="425E2BD1">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任务2：设备通道及点位配置</w:t>
            </w:r>
          </w:p>
        </w:tc>
        <w:tc>
          <w:tcPr>
            <w:tcW w:w="1162" w:type="pct"/>
            <w:vAlign w:val="center"/>
          </w:tcPr>
          <w:p w14:paraId="11528A99">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设备通道及点位配置</w:t>
            </w:r>
          </w:p>
        </w:tc>
        <w:tc>
          <w:tcPr>
            <w:tcW w:w="716" w:type="pct"/>
            <w:vAlign w:val="center"/>
          </w:tcPr>
          <w:p w14:paraId="0596B2E8">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color w:val="000000"/>
                <w:sz w:val="28"/>
                <w:szCs w:val="28"/>
              </w:rPr>
              <w:t>10</w:t>
            </w:r>
          </w:p>
        </w:tc>
        <w:tc>
          <w:tcPr>
            <w:tcW w:w="1224" w:type="dxa"/>
            <w:vAlign w:val="center"/>
          </w:tcPr>
          <w:p w14:paraId="5E2DC1AE">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color w:val="000000"/>
                <w:sz w:val="28"/>
                <w:szCs w:val="28"/>
              </w:rPr>
              <w:t>10</w:t>
            </w:r>
          </w:p>
        </w:tc>
        <w:tc>
          <w:tcPr>
            <w:tcW w:w="787" w:type="pct"/>
            <w:vAlign w:val="center"/>
          </w:tcPr>
          <w:p w14:paraId="11C947FC">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按任务要求每项减1分</w:t>
            </w:r>
          </w:p>
        </w:tc>
      </w:tr>
    </w:tbl>
    <w:p w14:paraId="66C7B990">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cs="宋体"/>
          <w:b/>
          <w:bCs/>
          <w:sz w:val="28"/>
          <w:szCs w:val="28"/>
        </w:rPr>
      </w:pPr>
      <w:r>
        <w:rPr>
          <w:rFonts w:hint="eastAsia" w:ascii="宋体" w:hAnsi="宋体" w:eastAsia="宋体" w:cs="宋体"/>
          <w:b/>
          <w:bCs/>
          <w:sz w:val="28"/>
          <w:szCs w:val="28"/>
        </w:rPr>
        <w:t>模块B：工业互联网技术及应用</w:t>
      </w:r>
    </w:p>
    <w:p w14:paraId="239CE05E">
      <w:pPr>
        <w:keepNext w:val="0"/>
        <w:keepLines w:val="0"/>
        <w:pageBreakBefore w:val="0"/>
        <w:widowControl/>
        <w:kinsoku/>
        <w:wordWrap/>
        <w:overflowPunct/>
        <w:topLinePunct w:val="0"/>
        <w:autoSpaceDE/>
        <w:autoSpaceDN/>
        <w:bidi w:val="0"/>
        <w:adjustRightInd w:val="0"/>
        <w:snapToGrid w:val="0"/>
        <w:spacing w:after="0" w:line="440" w:lineRule="exact"/>
        <w:ind w:firstLine="420"/>
        <w:textAlignment w:val="auto"/>
        <w:rPr>
          <w:rFonts w:hint="eastAsia" w:ascii="宋体" w:hAnsi="宋体" w:eastAsia="宋体" w:cs="宋体"/>
          <w:sz w:val="28"/>
          <w:szCs w:val="28"/>
        </w:rPr>
      </w:pPr>
      <w:r>
        <w:rPr>
          <w:rFonts w:hint="eastAsia" w:ascii="宋体" w:hAnsi="宋体" w:eastAsia="宋体" w:cs="宋体"/>
          <w:sz w:val="28"/>
          <w:szCs w:val="28"/>
        </w:rPr>
        <w:t>满分65分，分为1-4四个任务，评分细则如下：</w:t>
      </w:r>
    </w:p>
    <w:tbl>
      <w:tblPr>
        <w:tblStyle w:val="11"/>
        <w:tblW w:w="4998"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1182"/>
        <w:gridCol w:w="1579"/>
        <w:gridCol w:w="1992"/>
        <w:gridCol w:w="1217"/>
        <w:gridCol w:w="1217"/>
        <w:gridCol w:w="1332"/>
      </w:tblGrid>
      <w:tr w14:paraId="40B5B7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25" w:hRule="atLeast"/>
          <w:jc w:val="center"/>
        </w:trPr>
        <w:tc>
          <w:tcPr>
            <w:tcW w:w="694" w:type="pct"/>
            <w:shd w:val="clear" w:color="auto" w:fill="D0CECE"/>
            <w:vAlign w:val="center"/>
          </w:tcPr>
          <w:p w14:paraId="44B30B14">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类型</w:t>
            </w:r>
          </w:p>
        </w:tc>
        <w:tc>
          <w:tcPr>
            <w:tcW w:w="927" w:type="pct"/>
            <w:shd w:val="clear" w:color="auto" w:fill="D0CECE"/>
            <w:vAlign w:val="center"/>
          </w:tcPr>
          <w:p w14:paraId="61627BDC">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任务</w:t>
            </w:r>
          </w:p>
        </w:tc>
        <w:tc>
          <w:tcPr>
            <w:tcW w:w="1169" w:type="pct"/>
            <w:shd w:val="clear" w:color="auto" w:fill="D0CECE"/>
            <w:vAlign w:val="center"/>
          </w:tcPr>
          <w:p w14:paraId="0B4EC038">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评分要求</w:t>
            </w:r>
          </w:p>
        </w:tc>
        <w:tc>
          <w:tcPr>
            <w:tcW w:w="714" w:type="pct"/>
            <w:shd w:val="clear" w:color="auto" w:fill="D0CECE"/>
            <w:vAlign w:val="center"/>
          </w:tcPr>
          <w:p w14:paraId="7C963BC1">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最高分值</w:t>
            </w:r>
          </w:p>
        </w:tc>
        <w:tc>
          <w:tcPr>
            <w:tcW w:w="714" w:type="pct"/>
            <w:shd w:val="clear" w:color="auto" w:fill="D0CECE"/>
            <w:vAlign w:val="center"/>
          </w:tcPr>
          <w:p w14:paraId="18BC9BFA">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正确分值</w:t>
            </w:r>
          </w:p>
        </w:tc>
        <w:tc>
          <w:tcPr>
            <w:tcW w:w="782" w:type="pct"/>
            <w:shd w:val="clear" w:color="auto" w:fill="D0CECE"/>
            <w:vAlign w:val="center"/>
          </w:tcPr>
          <w:p w14:paraId="47FB5878">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不正确分值</w:t>
            </w:r>
          </w:p>
        </w:tc>
      </w:tr>
      <w:tr w14:paraId="045A9E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90" w:hRule="atLeast"/>
          <w:jc w:val="center"/>
        </w:trPr>
        <w:tc>
          <w:tcPr>
            <w:tcW w:w="694" w:type="pct"/>
            <w:vAlign w:val="center"/>
          </w:tcPr>
          <w:p w14:paraId="1589DD64">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从满分中扣除</w:t>
            </w:r>
          </w:p>
        </w:tc>
        <w:tc>
          <w:tcPr>
            <w:tcW w:w="927" w:type="pct"/>
            <w:vAlign w:val="center"/>
          </w:tcPr>
          <w:p w14:paraId="6C939528">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任务1：工业互联网平台网络通讯设置</w:t>
            </w:r>
          </w:p>
        </w:tc>
        <w:tc>
          <w:tcPr>
            <w:tcW w:w="1169" w:type="pct"/>
            <w:vAlign w:val="center"/>
          </w:tcPr>
          <w:p w14:paraId="43864A98">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网络通信配置创建</w:t>
            </w:r>
          </w:p>
        </w:tc>
        <w:tc>
          <w:tcPr>
            <w:tcW w:w="714" w:type="pct"/>
            <w:vAlign w:val="center"/>
          </w:tcPr>
          <w:p w14:paraId="52243171">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10</w:t>
            </w:r>
          </w:p>
        </w:tc>
        <w:tc>
          <w:tcPr>
            <w:tcW w:w="714" w:type="pct"/>
            <w:vAlign w:val="center"/>
          </w:tcPr>
          <w:p w14:paraId="7316AA1D">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10</w:t>
            </w:r>
          </w:p>
        </w:tc>
        <w:tc>
          <w:tcPr>
            <w:tcW w:w="782" w:type="pct"/>
            <w:vAlign w:val="center"/>
          </w:tcPr>
          <w:p w14:paraId="1796175C">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按任务要求每项减1分</w:t>
            </w:r>
          </w:p>
        </w:tc>
      </w:tr>
      <w:tr w14:paraId="18EB75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23" w:hRule="atLeast"/>
          <w:jc w:val="center"/>
        </w:trPr>
        <w:tc>
          <w:tcPr>
            <w:tcW w:w="694" w:type="pct"/>
            <w:vMerge w:val="restart"/>
            <w:vAlign w:val="center"/>
          </w:tcPr>
          <w:p w14:paraId="1BE91F6E">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从满分中扣除</w:t>
            </w:r>
          </w:p>
        </w:tc>
        <w:tc>
          <w:tcPr>
            <w:tcW w:w="927" w:type="pct"/>
            <w:vMerge w:val="restart"/>
            <w:vAlign w:val="center"/>
          </w:tcPr>
          <w:p w14:paraId="6C3AEE82">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任务2：工业互联网数据采集技术应用</w:t>
            </w:r>
          </w:p>
        </w:tc>
        <w:tc>
          <w:tcPr>
            <w:tcW w:w="1169" w:type="pct"/>
            <w:vAlign w:val="center"/>
          </w:tcPr>
          <w:p w14:paraId="79BC9816">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设备数字化模型创建</w:t>
            </w:r>
          </w:p>
        </w:tc>
        <w:tc>
          <w:tcPr>
            <w:tcW w:w="714" w:type="pct"/>
            <w:vAlign w:val="center"/>
          </w:tcPr>
          <w:p w14:paraId="2460AD99">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13</w:t>
            </w:r>
          </w:p>
        </w:tc>
        <w:tc>
          <w:tcPr>
            <w:tcW w:w="714" w:type="pct"/>
            <w:vAlign w:val="center"/>
          </w:tcPr>
          <w:p w14:paraId="45165712">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13</w:t>
            </w:r>
          </w:p>
        </w:tc>
        <w:tc>
          <w:tcPr>
            <w:tcW w:w="782" w:type="pct"/>
            <w:vAlign w:val="center"/>
          </w:tcPr>
          <w:p w14:paraId="00820A89">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按任务要求每项减1分</w:t>
            </w:r>
          </w:p>
        </w:tc>
      </w:tr>
      <w:tr w14:paraId="7E926C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715" w:hRule="atLeast"/>
          <w:jc w:val="center"/>
        </w:trPr>
        <w:tc>
          <w:tcPr>
            <w:tcW w:w="694" w:type="pct"/>
            <w:vMerge w:val="continue"/>
            <w:vAlign w:val="center"/>
          </w:tcPr>
          <w:p w14:paraId="79F0D9F1">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p>
        </w:tc>
        <w:tc>
          <w:tcPr>
            <w:tcW w:w="927" w:type="pct"/>
            <w:vMerge w:val="continue"/>
            <w:vAlign w:val="center"/>
          </w:tcPr>
          <w:p w14:paraId="6E49516E">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p>
        </w:tc>
        <w:tc>
          <w:tcPr>
            <w:tcW w:w="1169" w:type="pct"/>
            <w:vAlign w:val="center"/>
          </w:tcPr>
          <w:p w14:paraId="48B3C1D2">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设备数据采集应用</w:t>
            </w:r>
          </w:p>
        </w:tc>
        <w:tc>
          <w:tcPr>
            <w:tcW w:w="714" w:type="pct"/>
            <w:vAlign w:val="center"/>
          </w:tcPr>
          <w:p w14:paraId="104FA5C1">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10</w:t>
            </w:r>
          </w:p>
        </w:tc>
        <w:tc>
          <w:tcPr>
            <w:tcW w:w="714" w:type="pct"/>
            <w:vAlign w:val="center"/>
          </w:tcPr>
          <w:p w14:paraId="53720797">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10</w:t>
            </w:r>
          </w:p>
        </w:tc>
        <w:tc>
          <w:tcPr>
            <w:tcW w:w="782" w:type="pct"/>
            <w:vAlign w:val="center"/>
          </w:tcPr>
          <w:p w14:paraId="0FB6F315">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按任务要求每项减1分</w:t>
            </w:r>
          </w:p>
        </w:tc>
      </w:tr>
      <w:tr w14:paraId="4BB7AE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909" w:hRule="atLeast"/>
          <w:jc w:val="center"/>
        </w:trPr>
        <w:tc>
          <w:tcPr>
            <w:tcW w:w="694" w:type="pct"/>
            <w:vAlign w:val="center"/>
          </w:tcPr>
          <w:p w14:paraId="57D08989">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从满分中扣除</w:t>
            </w:r>
          </w:p>
        </w:tc>
        <w:tc>
          <w:tcPr>
            <w:tcW w:w="927" w:type="pct"/>
            <w:vAlign w:val="center"/>
          </w:tcPr>
          <w:p w14:paraId="2C1ECEE9">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任务3：边缘计算及数据可视化应用设计</w:t>
            </w:r>
          </w:p>
        </w:tc>
        <w:tc>
          <w:tcPr>
            <w:tcW w:w="1169" w:type="pct"/>
            <w:vAlign w:val="center"/>
          </w:tcPr>
          <w:p w14:paraId="45317550">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边缘计算及数据可视化应用</w:t>
            </w:r>
          </w:p>
        </w:tc>
        <w:tc>
          <w:tcPr>
            <w:tcW w:w="714" w:type="pct"/>
            <w:vAlign w:val="center"/>
          </w:tcPr>
          <w:p w14:paraId="49608935">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20</w:t>
            </w:r>
          </w:p>
        </w:tc>
        <w:tc>
          <w:tcPr>
            <w:tcW w:w="714" w:type="pct"/>
            <w:vAlign w:val="center"/>
          </w:tcPr>
          <w:p w14:paraId="596326BF">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20</w:t>
            </w:r>
          </w:p>
        </w:tc>
        <w:tc>
          <w:tcPr>
            <w:tcW w:w="782" w:type="pct"/>
            <w:vAlign w:val="center"/>
          </w:tcPr>
          <w:p w14:paraId="3A686579">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按任务要求每项减1分</w:t>
            </w:r>
          </w:p>
        </w:tc>
      </w:tr>
      <w:tr w14:paraId="360D40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956" w:hRule="atLeast"/>
          <w:jc w:val="center"/>
        </w:trPr>
        <w:tc>
          <w:tcPr>
            <w:tcW w:w="694" w:type="pct"/>
            <w:vAlign w:val="center"/>
          </w:tcPr>
          <w:p w14:paraId="193142A7">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从满分中扣除</w:t>
            </w:r>
          </w:p>
        </w:tc>
        <w:tc>
          <w:tcPr>
            <w:tcW w:w="927" w:type="pct"/>
            <w:vAlign w:val="center"/>
          </w:tcPr>
          <w:p w14:paraId="65CC9E88">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任务4：工业互联网标识解析服务应用</w:t>
            </w:r>
          </w:p>
        </w:tc>
        <w:tc>
          <w:tcPr>
            <w:tcW w:w="1169" w:type="pct"/>
            <w:vAlign w:val="center"/>
          </w:tcPr>
          <w:p w14:paraId="22E40D19">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标识解析规则创建</w:t>
            </w:r>
          </w:p>
        </w:tc>
        <w:tc>
          <w:tcPr>
            <w:tcW w:w="714" w:type="pct"/>
            <w:vAlign w:val="center"/>
          </w:tcPr>
          <w:p w14:paraId="5B5333E2">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12</w:t>
            </w:r>
          </w:p>
        </w:tc>
        <w:tc>
          <w:tcPr>
            <w:tcW w:w="714" w:type="pct"/>
            <w:vAlign w:val="center"/>
          </w:tcPr>
          <w:p w14:paraId="2E7D70E0">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12</w:t>
            </w:r>
          </w:p>
        </w:tc>
        <w:tc>
          <w:tcPr>
            <w:tcW w:w="782" w:type="pct"/>
            <w:vAlign w:val="center"/>
          </w:tcPr>
          <w:p w14:paraId="6BE92262">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按任务要求每项减1分</w:t>
            </w:r>
          </w:p>
        </w:tc>
      </w:tr>
    </w:tbl>
    <w:p w14:paraId="27DB7E99">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cs="宋体"/>
          <w:b/>
          <w:bCs/>
          <w:sz w:val="28"/>
          <w:szCs w:val="28"/>
        </w:rPr>
      </w:pPr>
      <w:bookmarkStart w:id="45" w:name="_Toc3564"/>
      <w:bookmarkStart w:id="46" w:name="_Toc473945808"/>
      <w:r>
        <w:rPr>
          <w:rFonts w:hint="eastAsia" w:ascii="宋体" w:hAnsi="宋体" w:eastAsia="宋体" w:cs="宋体"/>
          <w:b/>
          <w:bCs/>
          <w:sz w:val="28"/>
          <w:szCs w:val="28"/>
        </w:rPr>
        <w:t>模块C：实施报告</w:t>
      </w:r>
    </w:p>
    <w:p w14:paraId="10B7EDE5">
      <w:pPr>
        <w:pStyle w:val="2"/>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cs="宋体"/>
        </w:rPr>
      </w:pPr>
      <w:r>
        <w:rPr>
          <w:rFonts w:hint="eastAsia" w:ascii="宋体" w:hAnsi="宋体" w:eastAsia="宋体" w:cs="宋体"/>
          <w:sz w:val="28"/>
          <w:szCs w:val="28"/>
        </w:rPr>
        <w:t>满分15分，按照赛题要求完成实施报告。</w:t>
      </w:r>
    </w:p>
    <w:p w14:paraId="7794F5B4">
      <w:pPr>
        <w:keepNext w:val="0"/>
        <w:keepLines w:val="0"/>
        <w:pageBreakBefore w:val="0"/>
        <w:widowControl/>
        <w:kinsoku/>
        <w:wordWrap/>
        <w:overflowPunct/>
        <w:topLinePunct w:val="0"/>
        <w:autoSpaceDE/>
        <w:autoSpaceDN/>
        <w:bidi w:val="0"/>
        <w:adjustRightInd w:val="0"/>
        <w:snapToGrid w:val="0"/>
        <w:spacing w:after="0" w:line="440" w:lineRule="exact"/>
        <w:textAlignment w:val="auto"/>
        <w:outlineLvl w:val="2"/>
        <w:rPr>
          <w:rFonts w:hint="eastAsia" w:ascii="宋体" w:hAnsi="宋体" w:eastAsia="宋体" w:cs="宋体"/>
          <w:sz w:val="28"/>
          <w:szCs w:val="28"/>
        </w:rPr>
      </w:pPr>
      <w:r>
        <w:rPr>
          <w:rFonts w:hint="eastAsia" w:ascii="宋体" w:hAnsi="宋体" w:eastAsia="宋体" w:cs="宋体"/>
          <w:sz w:val="28"/>
          <w:szCs w:val="28"/>
        </w:rPr>
        <w:t>4.3评分流程说明</w:t>
      </w:r>
      <w:bookmarkEnd w:id="45"/>
      <w:bookmarkEnd w:id="46"/>
    </w:p>
    <w:p w14:paraId="1568246D">
      <w:pPr>
        <w:keepNext w:val="0"/>
        <w:keepLines w:val="0"/>
        <w:pageBreakBefore w:val="0"/>
        <w:widowControl/>
        <w:kinsoku/>
        <w:wordWrap/>
        <w:overflowPunct/>
        <w:topLinePunct w:val="0"/>
        <w:autoSpaceDE/>
        <w:autoSpaceDN/>
        <w:bidi w:val="0"/>
        <w:adjustRightInd w:val="0"/>
        <w:snapToGrid w:val="0"/>
        <w:spacing w:after="0" w:line="440" w:lineRule="exact"/>
        <w:ind w:firstLine="420"/>
        <w:textAlignment w:val="auto"/>
        <w:outlineLvl w:val="1"/>
        <w:rPr>
          <w:rFonts w:hint="eastAsia" w:ascii="宋体" w:hAnsi="宋体" w:eastAsia="宋体" w:cs="宋体"/>
          <w:sz w:val="28"/>
          <w:szCs w:val="28"/>
        </w:rPr>
      </w:pPr>
      <w:r>
        <w:rPr>
          <w:rFonts w:hint="eastAsia" w:ascii="宋体" w:hAnsi="宋体" w:eastAsia="宋体" w:cs="宋体"/>
          <w:sz w:val="28"/>
          <w:szCs w:val="28"/>
        </w:rPr>
        <w:t xml:space="preserve">1.裁判评分方法 </w:t>
      </w:r>
    </w:p>
    <w:p w14:paraId="307CFE66">
      <w:pPr>
        <w:keepNext w:val="0"/>
        <w:keepLines w:val="0"/>
        <w:pageBreakBefore w:val="0"/>
        <w:widowControl/>
        <w:kinsoku/>
        <w:wordWrap/>
        <w:overflowPunct/>
        <w:topLinePunct w:val="0"/>
        <w:autoSpaceDE/>
        <w:autoSpaceDN/>
        <w:bidi w:val="0"/>
        <w:adjustRightInd w:val="0"/>
        <w:snapToGrid w:val="0"/>
        <w:spacing w:after="0" w:line="440" w:lineRule="exact"/>
        <w:ind w:firstLine="420"/>
        <w:textAlignment w:val="auto"/>
        <w:rPr>
          <w:rFonts w:hint="eastAsia" w:ascii="宋体" w:hAnsi="宋体" w:eastAsia="宋体" w:cs="宋体"/>
          <w:sz w:val="28"/>
          <w:szCs w:val="28"/>
        </w:rPr>
      </w:pPr>
      <w:r>
        <w:rPr>
          <w:rFonts w:hint="eastAsia" w:ascii="宋体" w:hAnsi="宋体" w:eastAsia="宋体" w:cs="宋体"/>
          <w:sz w:val="28"/>
          <w:szCs w:val="28"/>
        </w:rPr>
        <w:t>（1）赛项裁判组负责赛项成绩评定工作，设裁判长一名，全面负责赛项的裁判和管理工作。参赛选手根据赛项任务书的要求进行操作，需要裁判确认的内容必须举手经过裁判员的确认，否则不得分。</w:t>
      </w:r>
    </w:p>
    <w:p w14:paraId="7096FE8C">
      <w:pPr>
        <w:keepNext w:val="0"/>
        <w:keepLines w:val="0"/>
        <w:pageBreakBefore w:val="0"/>
        <w:widowControl/>
        <w:kinsoku/>
        <w:wordWrap/>
        <w:overflowPunct/>
        <w:topLinePunct w:val="0"/>
        <w:autoSpaceDE/>
        <w:autoSpaceDN/>
        <w:bidi w:val="0"/>
        <w:adjustRightInd w:val="0"/>
        <w:snapToGrid w:val="0"/>
        <w:spacing w:after="0" w:line="440" w:lineRule="exact"/>
        <w:ind w:firstLine="420"/>
        <w:textAlignment w:val="auto"/>
        <w:rPr>
          <w:rFonts w:hint="eastAsia" w:ascii="宋体" w:hAnsi="宋体" w:eastAsia="宋体" w:cs="宋体"/>
          <w:sz w:val="28"/>
          <w:szCs w:val="28"/>
        </w:rPr>
      </w:pPr>
      <w:r>
        <w:rPr>
          <w:rFonts w:hint="eastAsia" w:ascii="宋体" w:hAnsi="宋体" w:eastAsia="宋体" w:cs="宋体"/>
          <w:sz w:val="28"/>
          <w:szCs w:val="28"/>
        </w:rPr>
        <w:t>（2）赛项裁判组本着“公平、公正、公开、科学、规范、透明、无异议”的原则，根据裁判的现场记录、参赛队选手的赛项任务书及评分标准，评定成绩。</w:t>
      </w:r>
    </w:p>
    <w:p w14:paraId="645024CE">
      <w:pPr>
        <w:keepNext w:val="0"/>
        <w:keepLines w:val="0"/>
        <w:pageBreakBefore w:val="0"/>
        <w:widowControl/>
        <w:kinsoku/>
        <w:wordWrap/>
        <w:overflowPunct/>
        <w:topLinePunct w:val="0"/>
        <w:autoSpaceDE/>
        <w:autoSpaceDN/>
        <w:bidi w:val="0"/>
        <w:adjustRightInd w:val="0"/>
        <w:snapToGrid w:val="0"/>
        <w:spacing w:after="0" w:line="440" w:lineRule="exact"/>
        <w:ind w:firstLine="420"/>
        <w:textAlignment w:val="auto"/>
        <w:rPr>
          <w:rFonts w:hint="eastAsia" w:ascii="宋体" w:hAnsi="宋体" w:eastAsia="宋体" w:cs="宋体"/>
          <w:sz w:val="28"/>
          <w:szCs w:val="28"/>
        </w:rPr>
      </w:pPr>
      <w:r>
        <w:rPr>
          <w:rFonts w:hint="eastAsia" w:ascii="宋体" w:hAnsi="宋体" w:eastAsia="宋体" w:cs="宋体"/>
          <w:sz w:val="28"/>
          <w:szCs w:val="28"/>
        </w:rPr>
        <w:t>（3）裁判的分组由裁判长负责。无相应执裁任务的裁判不得进入选手工位。选手按照裁判的指令展示评分项描述的功能。</w:t>
      </w:r>
    </w:p>
    <w:p w14:paraId="4F6DF027">
      <w:pPr>
        <w:keepNext w:val="0"/>
        <w:keepLines w:val="0"/>
        <w:pageBreakBefore w:val="0"/>
        <w:widowControl/>
        <w:kinsoku/>
        <w:wordWrap/>
        <w:overflowPunct/>
        <w:topLinePunct w:val="0"/>
        <w:autoSpaceDE/>
        <w:autoSpaceDN/>
        <w:bidi w:val="0"/>
        <w:adjustRightInd w:val="0"/>
        <w:snapToGrid w:val="0"/>
        <w:spacing w:after="0" w:line="440" w:lineRule="exact"/>
        <w:ind w:firstLine="420"/>
        <w:textAlignment w:val="auto"/>
        <w:outlineLvl w:val="1"/>
        <w:rPr>
          <w:rFonts w:hint="eastAsia" w:ascii="宋体" w:hAnsi="宋体" w:eastAsia="宋体" w:cs="宋体"/>
          <w:sz w:val="28"/>
          <w:szCs w:val="28"/>
        </w:rPr>
      </w:pPr>
      <w:r>
        <w:rPr>
          <w:rFonts w:hint="eastAsia" w:ascii="宋体" w:hAnsi="宋体" w:eastAsia="宋体" w:cs="宋体"/>
          <w:sz w:val="28"/>
          <w:szCs w:val="28"/>
        </w:rPr>
        <w:t xml:space="preserve">2.成绩产生方法 </w:t>
      </w:r>
    </w:p>
    <w:p w14:paraId="68D4B2DB">
      <w:pPr>
        <w:keepNext w:val="0"/>
        <w:keepLines w:val="0"/>
        <w:pageBreakBefore w:val="0"/>
        <w:widowControl/>
        <w:kinsoku/>
        <w:wordWrap/>
        <w:overflowPunct/>
        <w:topLinePunct w:val="0"/>
        <w:autoSpaceDE/>
        <w:autoSpaceDN/>
        <w:bidi w:val="0"/>
        <w:adjustRightInd w:val="0"/>
        <w:snapToGrid w:val="0"/>
        <w:spacing w:after="0" w:line="440" w:lineRule="exact"/>
        <w:ind w:firstLine="420"/>
        <w:textAlignment w:val="auto"/>
        <w:rPr>
          <w:rFonts w:hint="eastAsia" w:ascii="宋体" w:hAnsi="宋体" w:eastAsia="宋体" w:cs="宋体"/>
          <w:sz w:val="28"/>
          <w:szCs w:val="28"/>
        </w:rPr>
      </w:pPr>
      <w:r>
        <w:rPr>
          <w:rFonts w:hint="eastAsia" w:ascii="宋体" w:hAnsi="宋体" w:eastAsia="宋体" w:cs="宋体"/>
          <w:sz w:val="28"/>
          <w:szCs w:val="28"/>
        </w:rPr>
        <w:t>成绩产生方法为结果评分，所有评分材料须由相应评分裁判、裁判长共同签字。</w:t>
      </w:r>
    </w:p>
    <w:p w14:paraId="5BD8C906">
      <w:pPr>
        <w:keepNext w:val="0"/>
        <w:keepLines w:val="0"/>
        <w:pageBreakBefore w:val="0"/>
        <w:widowControl/>
        <w:kinsoku/>
        <w:wordWrap/>
        <w:overflowPunct/>
        <w:topLinePunct w:val="0"/>
        <w:autoSpaceDE/>
        <w:autoSpaceDN/>
        <w:bidi w:val="0"/>
        <w:adjustRightInd w:val="0"/>
        <w:snapToGrid w:val="0"/>
        <w:spacing w:after="0" w:line="440" w:lineRule="exact"/>
        <w:ind w:firstLine="420"/>
        <w:textAlignment w:val="auto"/>
        <w:outlineLvl w:val="1"/>
        <w:rPr>
          <w:rFonts w:hint="eastAsia" w:ascii="宋体" w:hAnsi="宋体" w:eastAsia="宋体" w:cs="宋体"/>
          <w:sz w:val="28"/>
          <w:szCs w:val="28"/>
        </w:rPr>
      </w:pPr>
      <w:r>
        <w:rPr>
          <w:rFonts w:hint="eastAsia" w:ascii="宋体" w:hAnsi="宋体" w:eastAsia="宋体" w:cs="宋体"/>
          <w:sz w:val="28"/>
          <w:szCs w:val="28"/>
        </w:rPr>
        <w:t xml:space="preserve">3.成绩并列 </w:t>
      </w:r>
    </w:p>
    <w:p w14:paraId="31DDDA6B">
      <w:pPr>
        <w:keepNext w:val="0"/>
        <w:keepLines w:val="0"/>
        <w:pageBreakBefore w:val="0"/>
        <w:widowControl/>
        <w:kinsoku/>
        <w:wordWrap/>
        <w:overflowPunct/>
        <w:topLinePunct w:val="0"/>
        <w:autoSpaceDE/>
        <w:autoSpaceDN/>
        <w:bidi w:val="0"/>
        <w:adjustRightInd w:val="0"/>
        <w:snapToGrid w:val="0"/>
        <w:spacing w:after="0" w:line="440" w:lineRule="exact"/>
        <w:ind w:firstLine="420"/>
        <w:textAlignment w:val="auto"/>
        <w:rPr>
          <w:rFonts w:hint="eastAsia" w:ascii="宋体" w:hAnsi="宋体" w:eastAsia="宋体" w:cs="宋体"/>
          <w:sz w:val="28"/>
          <w:szCs w:val="28"/>
        </w:rPr>
      </w:pPr>
      <w:r>
        <w:rPr>
          <w:rFonts w:hint="eastAsia" w:ascii="宋体" w:hAnsi="宋体" w:eastAsia="宋体" w:cs="宋体"/>
          <w:sz w:val="28"/>
          <w:szCs w:val="28"/>
        </w:rPr>
        <w:t>如出现参赛队总分相同情况，按照模块A、B、C顺序的得分高低排序，即总成绩相同的情况下比较模块A的成绩，模块A成绩高的排名优先。如果模块A成绩也相同，则按模块B的成绩进行排名，模块B成绩高的排名优先。</w:t>
      </w:r>
      <w:r>
        <w:rPr>
          <w:rFonts w:hint="eastAsia" w:ascii="宋体" w:hAnsi="宋体" w:eastAsia="宋体" w:cs="宋体"/>
          <w:snapToGrid w:val="0"/>
          <w:sz w:val="28"/>
          <w:szCs w:val="28"/>
        </w:rPr>
        <w:t>若模块B得分相同，</w:t>
      </w:r>
      <w:r>
        <w:rPr>
          <w:rFonts w:hint="eastAsia" w:ascii="宋体" w:hAnsi="宋体" w:eastAsia="宋体" w:cs="宋体"/>
          <w:sz w:val="28"/>
          <w:szCs w:val="28"/>
        </w:rPr>
        <w:t>则按模块C的成绩进行排名，</w:t>
      </w:r>
      <w:r>
        <w:rPr>
          <w:rFonts w:hint="eastAsia" w:ascii="宋体" w:hAnsi="宋体" w:eastAsia="宋体" w:cs="宋体"/>
          <w:snapToGrid w:val="0"/>
          <w:sz w:val="28"/>
          <w:szCs w:val="28"/>
        </w:rPr>
        <w:t>模块C得分高的排名在前。</w:t>
      </w:r>
    </w:p>
    <w:p w14:paraId="20753A9E">
      <w:pPr>
        <w:keepNext w:val="0"/>
        <w:keepLines w:val="0"/>
        <w:pageBreakBefore w:val="0"/>
        <w:widowControl/>
        <w:kinsoku/>
        <w:wordWrap/>
        <w:overflowPunct/>
        <w:topLinePunct w:val="0"/>
        <w:autoSpaceDE/>
        <w:autoSpaceDN/>
        <w:bidi w:val="0"/>
        <w:adjustRightInd w:val="0"/>
        <w:snapToGrid w:val="0"/>
        <w:spacing w:after="0" w:line="440" w:lineRule="exact"/>
        <w:ind w:firstLine="420"/>
        <w:textAlignment w:val="auto"/>
        <w:outlineLvl w:val="1"/>
        <w:rPr>
          <w:rFonts w:hint="eastAsia" w:ascii="宋体" w:hAnsi="宋体" w:eastAsia="宋体" w:cs="宋体"/>
          <w:sz w:val="28"/>
          <w:szCs w:val="28"/>
        </w:rPr>
      </w:pPr>
      <w:r>
        <w:rPr>
          <w:rFonts w:hint="eastAsia" w:ascii="宋体" w:hAnsi="宋体" w:eastAsia="宋体" w:cs="宋体"/>
          <w:sz w:val="28"/>
          <w:szCs w:val="28"/>
        </w:rPr>
        <w:t xml:space="preserve">4.成绩审核与公布方法 </w:t>
      </w:r>
    </w:p>
    <w:p w14:paraId="3DC079C1">
      <w:pPr>
        <w:keepNext w:val="0"/>
        <w:keepLines w:val="0"/>
        <w:pageBreakBefore w:val="0"/>
        <w:widowControl/>
        <w:kinsoku/>
        <w:wordWrap/>
        <w:overflowPunct/>
        <w:topLinePunct w:val="0"/>
        <w:autoSpaceDE/>
        <w:autoSpaceDN/>
        <w:bidi w:val="0"/>
        <w:adjustRightInd w:val="0"/>
        <w:snapToGrid w:val="0"/>
        <w:spacing w:after="0" w:line="440" w:lineRule="exact"/>
        <w:ind w:firstLine="420"/>
        <w:textAlignment w:val="auto"/>
        <w:outlineLvl w:val="2"/>
        <w:rPr>
          <w:rFonts w:hint="eastAsia" w:ascii="宋体" w:hAnsi="宋体" w:eastAsia="宋体" w:cs="宋体"/>
          <w:sz w:val="28"/>
          <w:szCs w:val="28"/>
        </w:rPr>
      </w:pPr>
      <w:r>
        <w:rPr>
          <w:rFonts w:hint="eastAsia" w:ascii="宋体" w:hAnsi="宋体" w:eastAsia="宋体" w:cs="宋体"/>
          <w:sz w:val="28"/>
          <w:szCs w:val="28"/>
        </w:rPr>
        <w:t>（1）抽检复核</w:t>
      </w:r>
    </w:p>
    <w:p w14:paraId="656BFDE1">
      <w:pPr>
        <w:keepNext w:val="0"/>
        <w:keepLines w:val="0"/>
        <w:pageBreakBefore w:val="0"/>
        <w:widowControl/>
        <w:kinsoku/>
        <w:wordWrap/>
        <w:overflowPunct/>
        <w:topLinePunct w:val="0"/>
        <w:autoSpaceDE/>
        <w:autoSpaceDN/>
        <w:bidi w:val="0"/>
        <w:adjustRightInd w:val="0"/>
        <w:snapToGrid w:val="0"/>
        <w:spacing w:after="0" w:line="440" w:lineRule="exact"/>
        <w:ind w:firstLine="420"/>
        <w:textAlignment w:val="auto"/>
        <w:rPr>
          <w:rFonts w:hint="eastAsia" w:ascii="宋体" w:hAnsi="宋体" w:eastAsia="宋体" w:cs="宋体"/>
          <w:sz w:val="28"/>
          <w:szCs w:val="28"/>
        </w:rPr>
      </w:pPr>
      <w:r>
        <w:rPr>
          <w:rFonts w:hint="eastAsia" w:ascii="宋体" w:hAnsi="宋体" w:eastAsia="宋体" w:cs="宋体"/>
          <w:sz w:val="28"/>
          <w:szCs w:val="28"/>
        </w:rPr>
        <w:t>①为保障成绩评判的准确性，监督仲裁组对赛项总成绩排名前 30%的所有参赛队伍（选手）的成绩进行复核；对其余成绩进行抽检复核，抽检覆盖率不得低于 15%。</w:t>
      </w:r>
    </w:p>
    <w:p w14:paraId="408CC8CD">
      <w:pPr>
        <w:keepNext w:val="0"/>
        <w:keepLines w:val="0"/>
        <w:pageBreakBefore w:val="0"/>
        <w:widowControl/>
        <w:kinsoku/>
        <w:wordWrap/>
        <w:overflowPunct/>
        <w:topLinePunct w:val="0"/>
        <w:autoSpaceDE/>
        <w:autoSpaceDN/>
        <w:bidi w:val="0"/>
        <w:adjustRightInd w:val="0"/>
        <w:snapToGrid w:val="0"/>
        <w:spacing w:after="0" w:line="440" w:lineRule="exact"/>
        <w:ind w:firstLine="420"/>
        <w:textAlignment w:val="auto"/>
        <w:rPr>
          <w:rFonts w:hint="eastAsia" w:ascii="宋体" w:hAnsi="宋体" w:eastAsia="宋体" w:cs="宋体"/>
          <w:sz w:val="28"/>
          <w:szCs w:val="28"/>
        </w:rPr>
      </w:pPr>
      <w:r>
        <w:rPr>
          <w:rFonts w:hint="eastAsia" w:ascii="宋体" w:hAnsi="宋体" w:eastAsia="宋体" w:cs="宋体"/>
          <w:sz w:val="28"/>
          <w:szCs w:val="28"/>
        </w:rPr>
        <w:t>②监督仲裁组需将复检中发现的错误以书面方式及时告知裁判长，由裁判长更正成绩并签字确认。</w:t>
      </w:r>
    </w:p>
    <w:p w14:paraId="4A12EDF1">
      <w:pPr>
        <w:keepNext w:val="0"/>
        <w:keepLines w:val="0"/>
        <w:pageBreakBefore w:val="0"/>
        <w:widowControl/>
        <w:kinsoku/>
        <w:wordWrap/>
        <w:overflowPunct/>
        <w:topLinePunct w:val="0"/>
        <w:autoSpaceDE/>
        <w:autoSpaceDN/>
        <w:bidi w:val="0"/>
        <w:adjustRightInd w:val="0"/>
        <w:snapToGrid w:val="0"/>
        <w:spacing w:after="0" w:line="440" w:lineRule="exact"/>
        <w:ind w:firstLine="420"/>
        <w:textAlignment w:val="auto"/>
        <w:rPr>
          <w:rFonts w:hint="eastAsia" w:ascii="宋体" w:hAnsi="宋体" w:eastAsia="宋体" w:cs="宋体"/>
          <w:sz w:val="28"/>
          <w:szCs w:val="28"/>
        </w:rPr>
      </w:pPr>
      <w:r>
        <w:rPr>
          <w:rFonts w:hint="eastAsia" w:ascii="宋体" w:hAnsi="宋体" w:eastAsia="宋体" w:cs="宋体"/>
          <w:sz w:val="28"/>
          <w:szCs w:val="28"/>
        </w:rPr>
        <w:t>③复核、抽检错误率超过 5%的，则认定为非小概率事件，裁判组需对所有成绩进行复核。</w:t>
      </w:r>
    </w:p>
    <w:p w14:paraId="3DB96B43">
      <w:pPr>
        <w:keepNext w:val="0"/>
        <w:keepLines w:val="0"/>
        <w:pageBreakBefore w:val="0"/>
        <w:widowControl/>
        <w:kinsoku/>
        <w:wordWrap/>
        <w:overflowPunct/>
        <w:topLinePunct w:val="0"/>
        <w:autoSpaceDE/>
        <w:autoSpaceDN/>
        <w:bidi w:val="0"/>
        <w:adjustRightInd w:val="0"/>
        <w:snapToGrid w:val="0"/>
        <w:spacing w:after="0" w:line="440" w:lineRule="exact"/>
        <w:ind w:firstLine="420"/>
        <w:textAlignment w:val="auto"/>
        <w:outlineLvl w:val="2"/>
        <w:rPr>
          <w:rFonts w:hint="eastAsia" w:ascii="宋体" w:hAnsi="宋体" w:eastAsia="宋体" w:cs="宋体"/>
          <w:sz w:val="28"/>
          <w:szCs w:val="28"/>
        </w:rPr>
      </w:pPr>
      <w:r>
        <w:rPr>
          <w:rFonts w:hint="eastAsia" w:ascii="宋体" w:hAnsi="宋体" w:eastAsia="宋体" w:cs="宋体"/>
          <w:sz w:val="28"/>
          <w:szCs w:val="28"/>
        </w:rPr>
        <w:t>（2）解密</w:t>
      </w:r>
    </w:p>
    <w:p w14:paraId="0D05CC83">
      <w:pPr>
        <w:keepNext w:val="0"/>
        <w:keepLines w:val="0"/>
        <w:pageBreakBefore w:val="0"/>
        <w:widowControl/>
        <w:kinsoku/>
        <w:wordWrap/>
        <w:overflowPunct/>
        <w:topLinePunct w:val="0"/>
        <w:autoSpaceDE/>
        <w:autoSpaceDN/>
        <w:bidi w:val="0"/>
        <w:adjustRightInd w:val="0"/>
        <w:snapToGrid w:val="0"/>
        <w:spacing w:after="0" w:line="440" w:lineRule="exact"/>
        <w:ind w:firstLine="420"/>
        <w:textAlignment w:val="auto"/>
        <w:rPr>
          <w:rFonts w:hint="eastAsia" w:ascii="宋体" w:hAnsi="宋体" w:eastAsia="宋体" w:cs="宋体"/>
          <w:sz w:val="28"/>
          <w:szCs w:val="28"/>
        </w:rPr>
      </w:pPr>
      <w:r>
        <w:rPr>
          <w:rFonts w:hint="eastAsia" w:ascii="宋体" w:hAnsi="宋体" w:eastAsia="宋体" w:cs="宋体"/>
          <w:sz w:val="28"/>
          <w:szCs w:val="28"/>
        </w:rPr>
        <w:t>裁判长正式提交赛位（竞赛作品）评分结果并复核无误后，加密裁判在监督人员监督下对加密结果进行逐层解密。</w:t>
      </w:r>
    </w:p>
    <w:p w14:paraId="117F5AFD">
      <w:pPr>
        <w:keepNext w:val="0"/>
        <w:keepLines w:val="0"/>
        <w:pageBreakBefore w:val="0"/>
        <w:widowControl/>
        <w:kinsoku/>
        <w:wordWrap/>
        <w:overflowPunct/>
        <w:topLinePunct w:val="0"/>
        <w:autoSpaceDE/>
        <w:autoSpaceDN/>
        <w:bidi w:val="0"/>
        <w:adjustRightInd w:val="0"/>
        <w:snapToGrid w:val="0"/>
        <w:spacing w:after="0" w:line="440" w:lineRule="exact"/>
        <w:ind w:firstLine="420"/>
        <w:textAlignment w:val="auto"/>
        <w:outlineLvl w:val="2"/>
        <w:rPr>
          <w:rFonts w:hint="eastAsia" w:ascii="宋体" w:hAnsi="宋体" w:eastAsia="宋体" w:cs="宋体"/>
          <w:sz w:val="28"/>
          <w:szCs w:val="28"/>
        </w:rPr>
      </w:pPr>
      <w:r>
        <w:rPr>
          <w:rFonts w:hint="eastAsia" w:ascii="宋体" w:hAnsi="宋体" w:eastAsia="宋体" w:cs="宋体"/>
          <w:sz w:val="28"/>
          <w:szCs w:val="28"/>
        </w:rPr>
        <w:t>（3）公布</w:t>
      </w:r>
    </w:p>
    <w:p w14:paraId="26F43003">
      <w:pPr>
        <w:keepNext w:val="0"/>
        <w:keepLines w:val="0"/>
        <w:pageBreakBefore w:val="0"/>
        <w:widowControl/>
        <w:kinsoku/>
        <w:wordWrap/>
        <w:overflowPunct/>
        <w:topLinePunct w:val="0"/>
        <w:autoSpaceDE/>
        <w:autoSpaceDN/>
        <w:bidi w:val="0"/>
        <w:adjustRightInd w:val="0"/>
        <w:snapToGrid w:val="0"/>
        <w:spacing w:after="0" w:line="440" w:lineRule="exact"/>
        <w:ind w:firstLine="420"/>
        <w:textAlignment w:val="auto"/>
        <w:rPr>
          <w:rFonts w:hint="eastAsia" w:ascii="宋体" w:hAnsi="宋体" w:eastAsia="宋体" w:cs="宋体"/>
          <w:sz w:val="28"/>
          <w:szCs w:val="28"/>
        </w:rPr>
      </w:pPr>
      <w:r>
        <w:rPr>
          <w:rFonts w:hint="eastAsia" w:ascii="宋体" w:hAnsi="宋体" w:eastAsia="宋体" w:cs="宋体"/>
          <w:sz w:val="28"/>
          <w:szCs w:val="28"/>
        </w:rPr>
        <w:t>记分员将解密后的各参赛队成绩汇总成最终成绩单，经裁判长、监督仲裁组签字后进行公示。</w:t>
      </w:r>
      <w:bookmarkStart w:id="47" w:name="_Toc481314009"/>
    </w:p>
    <w:p w14:paraId="5D49945A">
      <w:pPr>
        <w:keepNext w:val="0"/>
        <w:keepLines w:val="0"/>
        <w:pageBreakBefore w:val="0"/>
        <w:widowControl/>
        <w:kinsoku/>
        <w:wordWrap/>
        <w:overflowPunct/>
        <w:topLinePunct w:val="0"/>
        <w:autoSpaceDE/>
        <w:autoSpaceDN/>
        <w:bidi w:val="0"/>
        <w:adjustRightInd w:val="0"/>
        <w:snapToGrid w:val="0"/>
        <w:spacing w:after="0" w:line="440" w:lineRule="exact"/>
        <w:textAlignment w:val="auto"/>
        <w:outlineLvl w:val="1"/>
        <w:rPr>
          <w:rFonts w:hint="eastAsia" w:ascii="宋体" w:hAnsi="宋体" w:eastAsia="宋体" w:cs="宋体"/>
          <w:sz w:val="28"/>
          <w:szCs w:val="28"/>
        </w:rPr>
      </w:pPr>
      <w:bookmarkStart w:id="48" w:name="_Toc22809"/>
      <w:bookmarkStart w:id="49" w:name="_Toc590348333"/>
      <w:r>
        <w:rPr>
          <w:rFonts w:hint="eastAsia" w:ascii="宋体" w:hAnsi="宋体" w:eastAsia="宋体" w:cs="宋体"/>
          <w:sz w:val="28"/>
          <w:szCs w:val="28"/>
        </w:rPr>
        <w:t>5.项目特别规定</w:t>
      </w:r>
      <w:bookmarkEnd w:id="48"/>
      <w:bookmarkEnd w:id="49"/>
    </w:p>
    <w:p w14:paraId="567C685B">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参赛选手须提前20分钟入场。不得私自携带任何软硬件工具（各种便携式电脑、各种移动存储设备等）、技术资源、通信工具。按赛位号入座，检查比赛所需竞赛设备齐全后，由参赛选手签字确认方可开始比赛。选手在比赛中应注意随时存盘。迟到超过10分钟不得入场。竞赛期间不准出场，竞赛结束后方可离场。</w:t>
      </w:r>
    </w:p>
    <w:p w14:paraId="0134123C">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竞赛过程中，每个参赛队内部成员之间可以互相沟通，但不得向任何其它人员讨论问题，也不得向裁判、巡视和其他必须进入考场的工作人员询问与竞赛项目的操作流程和操作方法有关的问题，如有竞赛题目文字不清、软硬件环境故障的问题时，可向裁判员询问，成员间的沟通谈话不得影响到其他竞赛队伍。</w:t>
      </w:r>
    </w:p>
    <w:p w14:paraId="78857D81">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竞赛过程中除裁判和其他必须进入考场的工作人员外，任何其它非竞赛选手不得进入竞赛场地。</w:t>
      </w:r>
    </w:p>
    <w:p w14:paraId="6A694220">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竞赛结束（或提前完成）后，参赛队要确认成功提交竞赛要求的文件，裁判员与参赛队队长一起签字确认，参赛队在确认后不得再进行任何操作。</w:t>
      </w:r>
    </w:p>
    <w:p w14:paraId="6A7E7CC7">
      <w:pPr>
        <w:keepNext w:val="0"/>
        <w:keepLines w:val="0"/>
        <w:pageBreakBefore w:val="0"/>
        <w:widowControl/>
        <w:kinsoku/>
        <w:wordWrap/>
        <w:overflowPunct/>
        <w:topLinePunct w:val="0"/>
        <w:autoSpaceDE/>
        <w:autoSpaceDN/>
        <w:bidi w:val="0"/>
        <w:adjustRightInd w:val="0"/>
        <w:snapToGrid w:val="0"/>
        <w:spacing w:after="0" w:line="440" w:lineRule="exact"/>
        <w:textAlignment w:val="auto"/>
        <w:outlineLvl w:val="1"/>
        <w:rPr>
          <w:rFonts w:hint="eastAsia" w:ascii="宋体" w:hAnsi="宋体" w:eastAsia="宋体" w:cs="宋体"/>
          <w:sz w:val="28"/>
          <w:szCs w:val="28"/>
        </w:rPr>
      </w:pPr>
      <w:bookmarkStart w:id="50" w:name="_Toc609983591"/>
      <w:bookmarkStart w:id="51" w:name="_Toc24758"/>
      <w:r>
        <w:rPr>
          <w:rFonts w:hint="eastAsia" w:ascii="宋体" w:hAnsi="宋体" w:eastAsia="宋体" w:cs="宋体"/>
          <w:sz w:val="28"/>
          <w:szCs w:val="28"/>
        </w:rPr>
        <w:t>6.竞赛相关设施</w:t>
      </w:r>
      <w:bookmarkEnd w:id="47"/>
      <w:bookmarkEnd w:id="50"/>
      <w:bookmarkStart w:id="52" w:name="_Toc481314010"/>
      <w:r>
        <w:rPr>
          <w:rFonts w:hint="eastAsia" w:ascii="宋体" w:hAnsi="宋体" w:eastAsia="宋体" w:cs="宋体"/>
          <w:sz w:val="28"/>
          <w:szCs w:val="28"/>
        </w:rPr>
        <w:t>平台</w:t>
      </w:r>
      <w:bookmarkEnd w:id="51"/>
    </w:p>
    <w:p w14:paraId="1AA36911">
      <w:pPr>
        <w:keepNext w:val="0"/>
        <w:keepLines w:val="0"/>
        <w:pageBreakBefore w:val="0"/>
        <w:widowControl/>
        <w:kinsoku/>
        <w:wordWrap/>
        <w:overflowPunct/>
        <w:topLinePunct w:val="0"/>
        <w:autoSpaceDE/>
        <w:autoSpaceDN/>
        <w:bidi w:val="0"/>
        <w:adjustRightInd w:val="0"/>
        <w:snapToGrid w:val="0"/>
        <w:spacing w:after="0" w:line="440" w:lineRule="exact"/>
        <w:textAlignment w:val="auto"/>
        <w:outlineLvl w:val="2"/>
        <w:rPr>
          <w:rFonts w:hint="eastAsia" w:ascii="宋体" w:hAnsi="宋体" w:eastAsia="宋体" w:cs="宋体"/>
          <w:sz w:val="28"/>
          <w:szCs w:val="28"/>
        </w:rPr>
      </w:pPr>
      <w:bookmarkStart w:id="53" w:name="_Toc25187"/>
      <w:bookmarkStart w:id="54" w:name="_Toc2054766806"/>
      <w:r>
        <w:rPr>
          <w:rFonts w:hint="eastAsia" w:ascii="宋体" w:hAnsi="宋体" w:eastAsia="宋体" w:cs="宋体"/>
          <w:sz w:val="28"/>
          <w:szCs w:val="28"/>
        </w:rPr>
        <w:t>6.1场地设备工具</w:t>
      </w:r>
      <w:bookmarkEnd w:id="53"/>
      <w:bookmarkEnd w:id="54"/>
    </w:p>
    <w:tbl>
      <w:tblPr>
        <w:tblStyle w:val="11"/>
        <w:tblW w:w="8522" w:type="dxa"/>
        <w:tblInd w:w="0" w:type="dxa"/>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Layout w:type="fixed"/>
        <w:tblCellMar>
          <w:top w:w="0" w:type="dxa"/>
          <w:left w:w="108" w:type="dxa"/>
          <w:bottom w:w="0" w:type="dxa"/>
          <w:right w:w="108" w:type="dxa"/>
        </w:tblCellMar>
      </w:tblPr>
      <w:tblGrid>
        <w:gridCol w:w="1044"/>
        <w:gridCol w:w="2430"/>
        <w:gridCol w:w="3259"/>
        <w:gridCol w:w="855"/>
        <w:gridCol w:w="934"/>
      </w:tblGrid>
      <w:tr w14:paraId="55949344">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1044" w:type="dxa"/>
            <w:vAlign w:val="center"/>
          </w:tcPr>
          <w:p w14:paraId="47F8B54B">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序号</w:t>
            </w:r>
          </w:p>
        </w:tc>
        <w:tc>
          <w:tcPr>
            <w:tcW w:w="2430" w:type="dxa"/>
            <w:vAlign w:val="center"/>
          </w:tcPr>
          <w:p w14:paraId="6D91A446">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主体设备名称</w:t>
            </w:r>
          </w:p>
        </w:tc>
        <w:tc>
          <w:tcPr>
            <w:tcW w:w="3259" w:type="dxa"/>
            <w:vAlign w:val="center"/>
          </w:tcPr>
          <w:p w14:paraId="5CE9077D">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备注</w:t>
            </w:r>
          </w:p>
        </w:tc>
        <w:tc>
          <w:tcPr>
            <w:tcW w:w="855" w:type="dxa"/>
            <w:vAlign w:val="center"/>
          </w:tcPr>
          <w:p w14:paraId="59518A71">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单位</w:t>
            </w:r>
          </w:p>
        </w:tc>
        <w:tc>
          <w:tcPr>
            <w:tcW w:w="934" w:type="dxa"/>
            <w:vAlign w:val="center"/>
          </w:tcPr>
          <w:p w14:paraId="4E77A48A">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数量</w:t>
            </w:r>
          </w:p>
        </w:tc>
      </w:tr>
      <w:tr w14:paraId="13587480">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1044" w:type="dxa"/>
            <w:vAlign w:val="center"/>
          </w:tcPr>
          <w:p w14:paraId="324A5AE3">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1</w:t>
            </w:r>
          </w:p>
        </w:tc>
        <w:tc>
          <w:tcPr>
            <w:tcW w:w="2430" w:type="dxa"/>
            <w:vAlign w:val="center"/>
          </w:tcPr>
          <w:p w14:paraId="7C5F66AB">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cs="宋体"/>
                <w:sz w:val="28"/>
                <w:szCs w:val="28"/>
              </w:rPr>
            </w:pPr>
            <w:r>
              <w:rPr>
                <w:rFonts w:hint="eastAsia" w:ascii="宋体" w:hAnsi="宋体" w:eastAsia="宋体" w:cs="宋体"/>
                <w:color w:val="000000"/>
                <w:sz w:val="28"/>
                <w:szCs w:val="28"/>
              </w:rPr>
              <w:t>设备工具</w:t>
            </w:r>
          </w:p>
        </w:tc>
        <w:tc>
          <w:tcPr>
            <w:tcW w:w="3259" w:type="dxa"/>
            <w:vAlign w:val="center"/>
          </w:tcPr>
          <w:p w14:paraId="0B422835">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p>
        </w:tc>
        <w:tc>
          <w:tcPr>
            <w:tcW w:w="855" w:type="dxa"/>
            <w:vAlign w:val="center"/>
          </w:tcPr>
          <w:p w14:paraId="6811C9D6">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套</w:t>
            </w:r>
          </w:p>
        </w:tc>
        <w:tc>
          <w:tcPr>
            <w:tcW w:w="934" w:type="dxa"/>
            <w:vAlign w:val="center"/>
          </w:tcPr>
          <w:p w14:paraId="135105B5">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1</w:t>
            </w:r>
          </w:p>
        </w:tc>
      </w:tr>
      <w:tr w14:paraId="509A4828">
        <w:tblPrEx>
          <w:tblBorders>
            <w:top w:val="single" w:color="000000" w:sz="12" w:space="0"/>
            <w:left w:val="none" w:color="auto" w:sz="0" w:space="0"/>
            <w:bottom w:val="single" w:color="000000" w:sz="12"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397" w:hRule="atLeast"/>
        </w:trPr>
        <w:tc>
          <w:tcPr>
            <w:tcW w:w="1044" w:type="dxa"/>
            <w:vAlign w:val="center"/>
          </w:tcPr>
          <w:p w14:paraId="0FD01A76">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2</w:t>
            </w:r>
          </w:p>
        </w:tc>
        <w:tc>
          <w:tcPr>
            <w:tcW w:w="2430" w:type="dxa"/>
            <w:vAlign w:val="center"/>
          </w:tcPr>
          <w:p w14:paraId="062B5D59">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cs="宋体"/>
                <w:kern w:val="2"/>
                <w:sz w:val="28"/>
                <w:szCs w:val="28"/>
              </w:rPr>
            </w:pPr>
            <w:r>
              <w:rPr>
                <w:rFonts w:hint="eastAsia" w:ascii="宋体" w:hAnsi="宋体" w:eastAsia="宋体" w:cs="宋体"/>
                <w:sz w:val="28"/>
                <w:szCs w:val="28"/>
              </w:rPr>
              <w:t>工业互联网平台</w:t>
            </w:r>
          </w:p>
        </w:tc>
        <w:tc>
          <w:tcPr>
            <w:tcW w:w="3259" w:type="dxa"/>
          </w:tcPr>
          <w:p w14:paraId="2DE0B1E6">
            <w:pPr>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cs="宋体"/>
                <w:kern w:val="2"/>
                <w:sz w:val="28"/>
                <w:szCs w:val="28"/>
              </w:rPr>
            </w:pPr>
          </w:p>
        </w:tc>
        <w:tc>
          <w:tcPr>
            <w:tcW w:w="855" w:type="dxa"/>
            <w:vAlign w:val="center"/>
          </w:tcPr>
          <w:p w14:paraId="5D4AE758">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kern w:val="2"/>
                <w:sz w:val="28"/>
                <w:szCs w:val="28"/>
              </w:rPr>
            </w:pPr>
            <w:r>
              <w:rPr>
                <w:rFonts w:hint="eastAsia" w:ascii="宋体" w:hAnsi="宋体" w:eastAsia="宋体" w:cs="宋体"/>
                <w:sz w:val="28"/>
                <w:szCs w:val="28"/>
              </w:rPr>
              <w:t>套</w:t>
            </w:r>
          </w:p>
        </w:tc>
        <w:tc>
          <w:tcPr>
            <w:tcW w:w="934" w:type="dxa"/>
          </w:tcPr>
          <w:p w14:paraId="2582BBE4">
            <w:pPr>
              <w:keepNext w:val="0"/>
              <w:keepLines w:val="0"/>
              <w:pageBreakBefore w:val="0"/>
              <w:widowControl/>
              <w:kinsoku/>
              <w:wordWrap/>
              <w:overflowPunct/>
              <w:topLinePunct w:val="0"/>
              <w:autoSpaceDE/>
              <w:autoSpaceDN/>
              <w:bidi w:val="0"/>
              <w:adjustRightInd w:val="0"/>
              <w:snapToGrid w:val="0"/>
              <w:spacing w:after="0" w:line="440" w:lineRule="exact"/>
              <w:jc w:val="center"/>
              <w:textAlignment w:val="auto"/>
              <w:rPr>
                <w:rFonts w:hint="eastAsia" w:ascii="宋体" w:hAnsi="宋体" w:eastAsia="宋体" w:cs="宋体"/>
                <w:kern w:val="2"/>
                <w:sz w:val="28"/>
                <w:szCs w:val="28"/>
              </w:rPr>
            </w:pPr>
            <w:r>
              <w:rPr>
                <w:rFonts w:hint="eastAsia" w:ascii="宋体" w:hAnsi="宋体" w:eastAsia="宋体" w:cs="宋体"/>
                <w:sz w:val="28"/>
                <w:szCs w:val="28"/>
              </w:rPr>
              <w:t>1</w:t>
            </w:r>
          </w:p>
        </w:tc>
      </w:tr>
    </w:tbl>
    <w:p w14:paraId="1D4232C4">
      <w:pPr>
        <w:pStyle w:val="2"/>
        <w:keepNext w:val="0"/>
        <w:keepLines w:val="0"/>
        <w:pageBreakBefore w:val="0"/>
        <w:widowControl/>
        <w:kinsoku/>
        <w:wordWrap/>
        <w:overflowPunct/>
        <w:topLinePunct w:val="0"/>
        <w:autoSpaceDE/>
        <w:autoSpaceDN/>
        <w:bidi w:val="0"/>
        <w:adjustRightInd w:val="0"/>
        <w:snapToGrid w:val="0"/>
        <w:spacing w:after="0" w:line="440" w:lineRule="exact"/>
        <w:textAlignment w:val="auto"/>
        <w:rPr>
          <w:rFonts w:hint="eastAsia" w:ascii="宋体" w:hAnsi="宋体" w:eastAsia="宋体" w:cs="宋体"/>
          <w:sz w:val="28"/>
          <w:szCs w:val="28"/>
        </w:rPr>
      </w:pPr>
      <w:r>
        <w:rPr>
          <w:rFonts w:hint="eastAsia" w:ascii="宋体" w:hAnsi="宋体" w:eastAsia="宋体" w:cs="宋体"/>
          <w:sz w:val="28"/>
          <w:szCs w:val="28"/>
        </w:rPr>
        <w:t>设备工具功能介绍：</w:t>
      </w:r>
    </w:p>
    <w:p w14:paraId="1FEF1D7F">
      <w:pPr>
        <w:keepNext w:val="0"/>
        <w:keepLines w:val="0"/>
        <w:pageBreakBefore w:val="0"/>
        <w:widowControl/>
        <w:numPr>
          <w:ilvl w:val="0"/>
          <w:numId w:val="6"/>
        </w:numPr>
        <w:kinsoku/>
        <w:wordWrap/>
        <w:overflowPunct/>
        <w:topLinePunct w:val="0"/>
        <w:autoSpaceDE/>
        <w:autoSpaceDN/>
        <w:bidi w:val="0"/>
        <w:adjustRightInd w:val="0"/>
        <w:snapToGrid w:val="0"/>
        <w:spacing w:after="0" w:line="440" w:lineRule="exact"/>
        <w:textAlignment w:val="auto"/>
        <w:rPr>
          <w:rFonts w:hint="eastAsia" w:ascii="宋体" w:hAnsi="宋体" w:eastAsia="宋体" w:cs="宋体"/>
          <w:sz w:val="28"/>
          <w:szCs w:val="28"/>
        </w:rPr>
      </w:pPr>
      <w:r>
        <w:rPr>
          <w:rFonts w:hint="eastAsia" w:ascii="宋体" w:hAnsi="宋体" w:eastAsia="宋体" w:cs="宋体"/>
          <w:sz w:val="28"/>
          <w:szCs w:val="28"/>
        </w:rPr>
        <w:t>设备工具</w:t>
      </w:r>
    </w:p>
    <w:p w14:paraId="3F3583B6">
      <w:pPr>
        <w:pStyle w:val="2"/>
        <w:keepNext w:val="0"/>
        <w:keepLines w:val="0"/>
        <w:pageBreakBefore w:val="0"/>
        <w:widowControl/>
        <w:kinsoku/>
        <w:wordWrap/>
        <w:overflowPunct/>
        <w:topLinePunct w:val="0"/>
        <w:autoSpaceDE/>
        <w:autoSpaceDN/>
        <w:bidi w:val="0"/>
        <w:adjustRightInd w:val="0"/>
        <w:snapToGrid w:val="0"/>
        <w:spacing w:after="0" w:line="440" w:lineRule="exact"/>
        <w:ind w:firstLine="420"/>
        <w:textAlignment w:val="auto"/>
        <w:rPr>
          <w:rFonts w:hint="eastAsia" w:ascii="宋体" w:hAnsi="宋体" w:eastAsia="宋体" w:cs="宋体"/>
          <w:sz w:val="28"/>
          <w:szCs w:val="28"/>
        </w:rPr>
      </w:pPr>
      <w:r>
        <w:rPr>
          <w:rFonts w:hint="eastAsia" w:ascii="宋体" w:hAnsi="宋体" w:eastAsia="宋体" w:cs="宋体"/>
          <w:sz w:val="28"/>
          <w:szCs w:val="28"/>
        </w:rPr>
        <w:t>设备工具可以与工业互联网平台建立通信连接，智慧工厂设备生产实时数据。</w:t>
      </w:r>
    </w:p>
    <w:p w14:paraId="2014AFA4">
      <w:pPr>
        <w:keepNext w:val="0"/>
        <w:keepLines w:val="0"/>
        <w:pageBreakBefore w:val="0"/>
        <w:widowControl/>
        <w:numPr>
          <w:ilvl w:val="0"/>
          <w:numId w:val="6"/>
        </w:numPr>
        <w:kinsoku/>
        <w:wordWrap/>
        <w:overflowPunct/>
        <w:topLinePunct w:val="0"/>
        <w:autoSpaceDE/>
        <w:autoSpaceDN/>
        <w:bidi w:val="0"/>
        <w:adjustRightInd w:val="0"/>
        <w:snapToGrid w:val="0"/>
        <w:spacing w:after="0" w:line="440" w:lineRule="exact"/>
        <w:textAlignment w:val="auto"/>
        <w:rPr>
          <w:rFonts w:hint="eastAsia" w:ascii="宋体" w:hAnsi="宋体" w:eastAsia="宋体" w:cs="宋体"/>
          <w:sz w:val="28"/>
          <w:szCs w:val="28"/>
        </w:rPr>
      </w:pPr>
      <w:r>
        <w:rPr>
          <w:rFonts w:hint="eastAsia" w:ascii="宋体" w:hAnsi="宋体" w:eastAsia="宋体" w:cs="宋体"/>
          <w:sz w:val="28"/>
          <w:szCs w:val="28"/>
        </w:rPr>
        <w:t>工业互联网平台</w:t>
      </w:r>
    </w:p>
    <w:p w14:paraId="1E0EAB9C">
      <w:pPr>
        <w:pStyle w:val="2"/>
        <w:keepNext w:val="0"/>
        <w:keepLines w:val="0"/>
        <w:pageBreakBefore w:val="0"/>
        <w:widowControl/>
        <w:kinsoku/>
        <w:wordWrap/>
        <w:overflowPunct/>
        <w:topLinePunct w:val="0"/>
        <w:autoSpaceDE/>
        <w:autoSpaceDN/>
        <w:bidi w:val="0"/>
        <w:adjustRightInd w:val="0"/>
        <w:snapToGrid w:val="0"/>
        <w:spacing w:after="0" w:line="440" w:lineRule="exact"/>
        <w:ind w:firstLine="420"/>
        <w:jc w:val="distribute"/>
        <w:textAlignment w:val="auto"/>
        <w:rPr>
          <w:rFonts w:hint="eastAsia" w:ascii="宋体" w:hAnsi="宋体" w:eastAsia="宋体" w:cs="宋体"/>
          <w:sz w:val="28"/>
          <w:szCs w:val="28"/>
        </w:rPr>
      </w:pPr>
      <w:r>
        <w:rPr>
          <w:rFonts w:hint="eastAsia" w:ascii="宋体" w:hAnsi="宋体" w:eastAsia="宋体" w:cs="宋体"/>
          <w:sz w:val="28"/>
          <w:szCs w:val="28"/>
        </w:rPr>
        <w:t>工业物联网平台涵盖了海量工业数据的采集、存储、建模、分析及工业应用开发。利用平台连接异构的边缘设备、传感器及业务系统，实现海量物联网数据的高性能、分布式存储、查询和计算。基于业务需求快速构建资产模型，并定义资产的层级关系， 轻松实现跨系统的数据查询、公式指标计算、基于层级关系的统计计算、复杂算法模型计算，并支持基于脚本自定义数据处理和设备控制逻辑。通过规则引擎实现基于复杂规则的实时告警、设备控制，支持告警管理、告警消息订阅和告警统计分析。平台提供零代码、可视化的开发工具，帮助客户快速开发各类图形化和数据分析类的工业智能应用，助力企业实现包括生产设备、制造流程、产品质量、能耗、库存以及各种生产管理指标的实时监控、异常分析、预警报警和优化改进。另外，平台提供边云协同功能，实现应用的在线下发，支持边缘计算，并能够远程管理寄云边缘智能一体机和工业网关。</w:t>
      </w:r>
    </w:p>
    <w:bookmarkEnd w:id="52"/>
    <w:p w14:paraId="52DC83FB">
      <w:pPr>
        <w:keepNext w:val="0"/>
        <w:keepLines w:val="0"/>
        <w:pageBreakBefore w:val="0"/>
        <w:widowControl/>
        <w:kinsoku/>
        <w:wordWrap/>
        <w:overflowPunct/>
        <w:topLinePunct w:val="0"/>
        <w:autoSpaceDE/>
        <w:autoSpaceDN/>
        <w:bidi w:val="0"/>
        <w:adjustRightInd w:val="0"/>
        <w:snapToGrid w:val="0"/>
        <w:spacing w:after="0" w:line="440" w:lineRule="exact"/>
        <w:textAlignment w:val="auto"/>
        <w:outlineLvl w:val="1"/>
        <w:rPr>
          <w:rFonts w:hint="eastAsia" w:ascii="宋体" w:hAnsi="宋体" w:eastAsia="宋体" w:cs="宋体"/>
          <w:sz w:val="28"/>
          <w:szCs w:val="28"/>
        </w:rPr>
      </w:pPr>
      <w:bookmarkStart w:id="55" w:name="_Toc481314011"/>
      <w:bookmarkStart w:id="56" w:name="_Toc22530"/>
      <w:bookmarkStart w:id="57" w:name="_Toc1742121134"/>
      <w:r>
        <w:rPr>
          <w:rFonts w:hint="eastAsia" w:ascii="宋体" w:hAnsi="宋体" w:eastAsia="宋体" w:cs="宋体"/>
          <w:sz w:val="28"/>
          <w:szCs w:val="28"/>
        </w:rPr>
        <w:t>7.健康和安全</w:t>
      </w:r>
      <w:bookmarkEnd w:id="55"/>
      <w:bookmarkEnd w:id="56"/>
      <w:bookmarkEnd w:id="57"/>
    </w:p>
    <w:p w14:paraId="6A4B7280">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z w:val="28"/>
          <w:szCs w:val="28"/>
        </w:rPr>
      </w:pPr>
      <w:bookmarkStart w:id="58" w:name="_Toc481314012"/>
      <w:r>
        <w:rPr>
          <w:rFonts w:hint="eastAsia" w:ascii="宋体" w:hAnsi="宋体" w:eastAsia="宋体" w:cs="宋体"/>
          <w:sz w:val="28"/>
          <w:szCs w:val="28"/>
        </w:rPr>
        <w:t>1.参赛选手及工作人员做好自我健康状况监测，确认无发热、咳嗽、乏力、腹泻等症状方可参赛。赛场严格做好体温检测检查工作，掌握工作人员及参赛选手的健康情况，加强对工作人员及参赛选手进入赛场时、参赛、候赛期间检查工作。</w:t>
      </w:r>
    </w:p>
    <w:p w14:paraId="417D4ED2">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z w:val="28"/>
          <w:szCs w:val="28"/>
        </w:rPr>
      </w:pPr>
      <w:r>
        <w:rPr>
          <w:rFonts w:hint="eastAsia" w:ascii="宋体" w:hAnsi="宋体" w:eastAsia="宋体" w:cs="宋体"/>
          <w:sz w:val="28"/>
          <w:szCs w:val="28"/>
        </w:rPr>
        <w:t>2.参赛选手及工作人员进入竞赛场所后，应全程佩戴口罩，做好手部卫生措施。出现发热、干咳、乏力、鼻塞、流涕、咽痛、腹泻等症状，应当立即报告安全应急组。</w:t>
      </w:r>
    </w:p>
    <w:p w14:paraId="349DBA85">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z w:val="28"/>
          <w:szCs w:val="28"/>
        </w:rPr>
      </w:pPr>
      <w:r>
        <w:rPr>
          <w:rFonts w:hint="eastAsia" w:ascii="宋体" w:hAnsi="宋体" w:eastAsia="宋体" w:cs="宋体"/>
          <w:sz w:val="28"/>
          <w:szCs w:val="28"/>
        </w:rPr>
        <w:t>3.教室、实操场地、赛场和候赛室等公共场地，保持人与人之间间隔不低于 1 米。领餐后在空旷区域独自就餐，领用餐前后须洗手，减少交流。</w:t>
      </w:r>
    </w:p>
    <w:p w14:paraId="5CE6A885">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z w:val="28"/>
          <w:szCs w:val="28"/>
        </w:rPr>
      </w:pPr>
      <w:r>
        <w:rPr>
          <w:rFonts w:hint="eastAsia" w:ascii="宋体" w:hAnsi="宋体" w:eastAsia="宋体" w:cs="宋体"/>
          <w:sz w:val="28"/>
          <w:szCs w:val="28"/>
        </w:rPr>
        <w:t>4.赛场配有消毒剂、免洗洗手消毒液、酒精、口罩、一次性手套、红外线检测设备等防疫物资。</w:t>
      </w:r>
    </w:p>
    <w:p w14:paraId="5708AA96">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z w:val="28"/>
          <w:szCs w:val="28"/>
        </w:rPr>
      </w:pPr>
      <w:r>
        <w:rPr>
          <w:rFonts w:hint="eastAsia" w:ascii="宋体" w:hAnsi="宋体" w:eastAsia="宋体" w:cs="宋体"/>
          <w:sz w:val="28"/>
          <w:szCs w:val="28"/>
        </w:rPr>
        <w:t>5.在竞赛场地内设立（临时）隔离室，位置相对独立，以备人员出现发热等症状时立即进行暂时隔离。</w:t>
      </w:r>
    </w:p>
    <w:p w14:paraId="52C2F20F">
      <w:pPr>
        <w:keepNext w:val="0"/>
        <w:keepLines w:val="0"/>
        <w:pageBreakBefore w:val="0"/>
        <w:widowControl/>
        <w:kinsoku/>
        <w:wordWrap/>
        <w:overflowPunct/>
        <w:topLinePunct w:val="0"/>
        <w:autoSpaceDE/>
        <w:autoSpaceDN/>
        <w:bidi w:val="0"/>
        <w:adjustRightInd w:val="0"/>
        <w:snapToGrid w:val="0"/>
        <w:spacing w:after="0" w:line="440" w:lineRule="exact"/>
        <w:textAlignment w:val="auto"/>
        <w:outlineLvl w:val="1"/>
        <w:rPr>
          <w:rFonts w:hint="eastAsia" w:ascii="宋体" w:hAnsi="宋体" w:eastAsia="宋体" w:cs="宋体"/>
          <w:sz w:val="28"/>
          <w:szCs w:val="28"/>
        </w:rPr>
      </w:pPr>
      <w:bookmarkStart w:id="59" w:name="_Toc1037855940"/>
      <w:bookmarkStart w:id="60" w:name="_Toc31393"/>
      <w:r>
        <w:rPr>
          <w:rFonts w:hint="eastAsia" w:ascii="宋体" w:hAnsi="宋体" w:eastAsia="宋体" w:cs="宋体"/>
          <w:sz w:val="28"/>
          <w:szCs w:val="28"/>
        </w:rPr>
        <w:t>8.开放赛场</w:t>
      </w:r>
      <w:bookmarkEnd w:id="58"/>
      <w:bookmarkEnd w:id="59"/>
      <w:bookmarkEnd w:id="60"/>
    </w:p>
    <w:p w14:paraId="324873C7">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outlineLvl w:val="2"/>
        <w:rPr>
          <w:rFonts w:hint="eastAsia" w:ascii="宋体" w:hAnsi="宋体" w:eastAsia="宋体" w:cs="宋体"/>
          <w:sz w:val="28"/>
          <w:szCs w:val="28"/>
        </w:rPr>
      </w:pPr>
      <w:r>
        <w:rPr>
          <w:rFonts w:hint="eastAsia" w:ascii="宋体" w:hAnsi="宋体" w:eastAsia="宋体" w:cs="宋体"/>
          <w:sz w:val="28"/>
          <w:szCs w:val="28"/>
        </w:rPr>
        <w:t>（一）熟悉场地</w:t>
      </w:r>
    </w:p>
    <w:p w14:paraId="3D5EC7D5">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outlineLvl w:val="1"/>
        <w:rPr>
          <w:rFonts w:hint="eastAsia" w:ascii="宋体" w:hAnsi="宋体" w:eastAsia="宋体" w:cs="宋体"/>
          <w:sz w:val="28"/>
          <w:szCs w:val="28"/>
        </w:rPr>
      </w:pPr>
      <w:r>
        <w:rPr>
          <w:rFonts w:hint="eastAsia" w:ascii="宋体" w:hAnsi="宋体" w:eastAsia="宋体" w:cs="宋体"/>
          <w:sz w:val="28"/>
          <w:szCs w:val="28"/>
        </w:rPr>
        <w:t>1.组委会安排在报到结束后各参赛队统一有序的熟悉场地。</w:t>
      </w:r>
    </w:p>
    <w:p w14:paraId="300C52A0">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z w:val="28"/>
          <w:szCs w:val="28"/>
        </w:rPr>
      </w:pPr>
      <w:r>
        <w:rPr>
          <w:rFonts w:hint="eastAsia" w:ascii="宋体" w:hAnsi="宋体" w:eastAsia="宋体" w:cs="宋体"/>
          <w:sz w:val="28"/>
          <w:szCs w:val="28"/>
        </w:rPr>
        <w:t>2.人员到场地后须在指定区域内活动。除熟悉比赛设备外，不得动用、挪用比赛摄像、视频等设备。</w:t>
      </w:r>
    </w:p>
    <w:p w14:paraId="44A5C489">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z w:val="28"/>
          <w:szCs w:val="28"/>
        </w:rPr>
      </w:pPr>
      <w:r>
        <w:rPr>
          <w:rFonts w:hint="eastAsia" w:ascii="宋体" w:hAnsi="宋体" w:eastAsia="宋体" w:cs="宋体"/>
          <w:sz w:val="28"/>
          <w:szCs w:val="28"/>
        </w:rPr>
        <w:t>3.熟悉场地时严禁与现场工作人员进行交流，不发表没有根据以及有损大赛整体形象的言论。</w:t>
      </w:r>
    </w:p>
    <w:p w14:paraId="3DC8BFB2">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z w:val="28"/>
          <w:szCs w:val="28"/>
        </w:rPr>
      </w:pPr>
      <w:r>
        <w:rPr>
          <w:rFonts w:hint="eastAsia" w:ascii="宋体" w:hAnsi="宋体" w:eastAsia="宋体" w:cs="宋体"/>
          <w:sz w:val="28"/>
          <w:szCs w:val="28"/>
        </w:rPr>
        <w:t>4.熟悉场地严格遵守大赛各种制度，严禁拥挤，喧哗，以免发生意外事故。</w:t>
      </w:r>
    </w:p>
    <w:p w14:paraId="6BA6BDF1">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outlineLvl w:val="2"/>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rPr>
        <w:t>二</w:t>
      </w:r>
      <w:r>
        <w:rPr>
          <w:rFonts w:hint="eastAsia" w:ascii="宋体" w:hAnsi="宋体" w:eastAsia="宋体" w:cs="宋体"/>
          <w:sz w:val="28"/>
          <w:szCs w:val="28"/>
        </w:rPr>
        <w:t>）比赛入场</w:t>
      </w:r>
    </w:p>
    <w:p w14:paraId="0AEC214B">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z w:val="28"/>
          <w:szCs w:val="28"/>
        </w:rPr>
      </w:pPr>
      <w:r>
        <w:rPr>
          <w:rFonts w:hint="eastAsia" w:ascii="宋体" w:hAnsi="宋体" w:eastAsia="宋体" w:cs="宋体"/>
          <w:sz w:val="28"/>
          <w:szCs w:val="28"/>
        </w:rPr>
        <w:t>参赛选手应提前 30 分钟到达赛场，接受工作人员对选手身份、资格和有关证件的核验，赛位由抽签确定，不得擅自变更、调整；选手在竞赛过程中不得擅自离开赛场，如有特殊情况，须经裁判人员同意。选手不得将手机、无线上网卡、移动存储设备、资料等与竞赛无关的物品带入赛场。</w:t>
      </w:r>
    </w:p>
    <w:p w14:paraId="4414F736">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outlineLvl w:val="2"/>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rPr>
        <w:t>三</w:t>
      </w:r>
      <w:r>
        <w:rPr>
          <w:rFonts w:hint="eastAsia" w:ascii="宋体" w:hAnsi="宋体" w:eastAsia="宋体" w:cs="宋体"/>
          <w:sz w:val="28"/>
          <w:szCs w:val="28"/>
        </w:rPr>
        <w:t>）正式比赛</w:t>
      </w:r>
    </w:p>
    <w:p w14:paraId="56D87F62">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z w:val="28"/>
          <w:szCs w:val="28"/>
        </w:rPr>
      </w:pPr>
      <w:r>
        <w:rPr>
          <w:rFonts w:hint="eastAsia" w:ascii="宋体" w:hAnsi="宋体" w:eastAsia="宋体" w:cs="宋体"/>
          <w:sz w:val="28"/>
          <w:szCs w:val="28"/>
        </w:rPr>
        <w:t>1.所有人员在赛场内不得有影响其他选手完成工作任务的行为，参赛选手不允许窜岗窜位，使用文明用语，不得言语及人身攻击裁判和赛场工作人员。</w:t>
      </w:r>
    </w:p>
    <w:p w14:paraId="61AB4F8F">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z w:val="28"/>
          <w:szCs w:val="28"/>
        </w:rPr>
      </w:pPr>
      <w:r>
        <w:rPr>
          <w:rFonts w:hint="eastAsia" w:ascii="宋体" w:hAnsi="宋体" w:eastAsia="宋体" w:cs="宋体"/>
          <w:sz w:val="28"/>
          <w:szCs w:val="28"/>
        </w:rPr>
        <w:t>2.选手须严格遵守安全操作规程，并接受裁判员的监督和警示，以确保参赛人身及设备安全。选手因个人误操作造成人身安全事故和设备故障时，裁判长有权中止该队比赛；如非选手个人因素出现设备故障而无法比赛，由裁判长视具体情况做出裁决(调换到备份赛位或调整至最后一场次参加比赛)；如裁判长确定设备故障可由技术支持人员排除故障后继续比赛，将给参赛选手补足所耽误的比赛时间。</w:t>
      </w:r>
    </w:p>
    <w:p w14:paraId="302A478F">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z w:val="28"/>
          <w:szCs w:val="28"/>
        </w:rPr>
      </w:pPr>
      <w:r>
        <w:rPr>
          <w:rFonts w:hint="eastAsia" w:ascii="宋体" w:hAnsi="宋体" w:eastAsia="宋体" w:cs="宋体"/>
          <w:sz w:val="28"/>
          <w:szCs w:val="28"/>
        </w:rPr>
        <w:t>3.选手进入赛场后，不得擅自离开赛场，因病或其他原因离开赛场或终止比赛，应向裁判示意，须经赛场裁判长同意，并在赛场记录表上签字确认后，方可离开赛场并在赛场工作人员指引下到达指定地点。</w:t>
      </w:r>
    </w:p>
    <w:p w14:paraId="3F868519">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z w:val="28"/>
          <w:szCs w:val="28"/>
        </w:rPr>
      </w:pPr>
      <w:r>
        <w:rPr>
          <w:rFonts w:hint="eastAsia" w:ascii="宋体" w:hAnsi="宋体" w:eastAsia="宋体" w:cs="宋体"/>
          <w:sz w:val="28"/>
          <w:szCs w:val="28"/>
        </w:rPr>
        <w:t>4.选手须按照程序提交比赛结果（任务书），在比赛赛位的计算机规定文件夹内存储比赛文档，配合裁判做好赛场情况记录，并签字确认，裁判提出签名要求时，不得无故拒绝。</w:t>
      </w:r>
    </w:p>
    <w:p w14:paraId="0C2CB004">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z w:val="28"/>
          <w:szCs w:val="28"/>
        </w:rPr>
      </w:pPr>
      <w:r>
        <w:rPr>
          <w:rFonts w:hint="eastAsia" w:ascii="宋体" w:hAnsi="宋体" w:eastAsia="宋体" w:cs="宋体"/>
          <w:sz w:val="28"/>
          <w:szCs w:val="28"/>
        </w:rPr>
        <w:t>5.裁判长发布比赛结束指令后所有未完成任务参赛队立即停止操作，按要求清理赛位，不得以任何理由拖延竞赛时间。</w:t>
      </w:r>
    </w:p>
    <w:p w14:paraId="0083B2C8">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outlineLvl w:val="2"/>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rPr>
        <w:t>四</w:t>
      </w:r>
      <w:r>
        <w:rPr>
          <w:rFonts w:hint="eastAsia" w:ascii="宋体" w:hAnsi="宋体" w:eastAsia="宋体" w:cs="宋体"/>
          <w:sz w:val="28"/>
          <w:szCs w:val="28"/>
        </w:rPr>
        <w:t>）成绩公布</w:t>
      </w:r>
    </w:p>
    <w:p w14:paraId="0CA4B394">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z w:val="28"/>
          <w:szCs w:val="28"/>
        </w:rPr>
      </w:pPr>
      <w:r>
        <w:rPr>
          <w:rFonts w:hint="eastAsia" w:ascii="宋体" w:hAnsi="宋体" w:eastAsia="宋体" w:cs="宋体"/>
          <w:sz w:val="28"/>
          <w:szCs w:val="28"/>
        </w:rPr>
        <w:t>1.闭赛式前，比赛成绩经工作人员统计、汇总、排序后交由组委会、裁判组共同检查，确认裁判工作无误后对应赛位号与参赛队对应登记，并由裁判组进行核对。</w:t>
      </w:r>
    </w:p>
    <w:p w14:paraId="16591957">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z w:val="28"/>
          <w:szCs w:val="28"/>
        </w:rPr>
      </w:pPr>
      <w:r>
        <w:rPr>
          <w:rFonts w:hint="eastAsia" w:ascii="宋体" w:hAnsi="宋体" w:eastAsia="宋体" w:cs="宋体"/>
          <w:sz w:val="28"/>
          <w:szCs w:val="28"/>
        </w:rPr>
        <w:t>2.经大赛组委会在听取裁判组对成绩评定的意见并对比赛成绩核查后，由大赛组委会指定专人在闭赛式上宣布。</w:t>
      </w:r>
    </w:p>
    <w:p w14:paraId="15EC4D7E">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z w:val="28"/>
          <w:szCs w:val="28"/>
        </w:rPr>
      </w:pPr>
      <w:r>
        <w:rPr>
          <w:rFonts w:hint="eastAsia" w:ascii="宋体" w:hAnsi="宋体" w:eastAsia="宋体" w:cs="宋体"/>
          <w:sz w:val="28"/>
          <w:szCs w:val="28"/>
        </w:rPr>
        <w:t>3.大赛结束后，由大赛组委会在大赛指定网络信息发布平台上发布。</w:t>
      </w:r>
    </w:p>
    <w:p w14:paraId="6D309561">
      <w:pPr>
        <w:pStyle w:val="14"/>
        <w:keepNext w:val="0"/>
        <w:keepLines w:val="0"/>
        <w:pageBreakBefore w:val="0"/>
        <w:widowControl/>
        <w:numPr>
          <w:ilvl w:val="0"/>
          <w:numId w:val="3"/>
        </w:numPr>
        <w:kinsoku/>
        <w:wordWrap/>
        <w:overflowPunct/>
        <w:topLinePunct w:val="0"/>
        <w:autoSpaceDE/>
        <w:autoSpaceDN/>
        <w:bidi w:val="0"/>
        <w:adjustRightInd w:val="0"/>
        <w:snapToGrid w:val="0"/>
        <w:spacing w:after="0" w:line="440" w:lineRule="exact"/>
        <w:ind w:firstLineChars="0"/>
        <w:textAlignment w:val="auto"/>
        <w:outlineLvl w:val="0"/>
        <w:rPr>
          <w:rFonts w:hint="eastAsia" w:ascii="宋体" w:hAnsi="宋体" w:eastAsia="宋体" w:cs="宋体"/>
          <w:b/>
          <w:sz w:val="28"/>
          <w:szCs w:val="28"/>
        </w:rPr>
      </w:pPr>
      <w:r>
        <w:rPr>
          <w:rFonts w:hint="eastAsia" w:ascii="宋体" w:hAnsi="宋体" w:eastAsia="宋体" w:cs="宋体"/>
          <w:b/>
          <w:sz w:val="28"/>
          <w:szCs w:val="28"/>
        </w:rPr>
        <w:t>竞赛时间</w:t>
      </w:r>
    </w:p>
    <w:p w14:paraId="460F7FBA">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z w:val="28"/>
          <w:szCs w:val="28"/>
        </w:rPr>
      </w:pPr>
      <w:r>
        <w:rPr>
          <w:rFonts w:hint="eastAsia" w:ascii="宋体" w:hAnsi="宋体" w:eastAsia="宋体" w:cs="宋体"/>
          <w:sz w:val="28"/>
          <w:szCs w:val="28"/>
        </w:rPr>
        <w:t>2024年</w:t>
      </w:r>
      <w:r>
        <w:rPr>
          <w:rFonts w:hint="eastAsia" w:ascii="宋体" w:hAnsi="宋体" w:eastAsia="宋体" w:cs="宋体"/>
          <w:sz w:val="28"/>
          <w:szCs w:val="28"/>
          <w:lang w:val="en-US"/>
        </w:rPr>
        <w:t>11</w:t>
      </w:r>
      <w:r>
        <w:rPr>
          <w:rFonts w:hint="eastAsia" w:ascii="宋体" w:hAnsi="宋体" w:eastAsia="宋体" w:cs="宋体"/>
          <w:sz w:val="28"/>
          <w:szCs w:val="28"/>
        </w:rPr>
        <w:t>月</w:t>
      </w:r>
      <w:r>
        <w:rPr>
          <w:rFonts w:hint="eastAsia" w:ascii="宋体" w:hAnsi="宋体" w:eastAsia="宋体" w:cs="宋体"/>
          <w:sz w:val="28"/>
          <w:szCs w:val="28"/>
          <w:lang w:val="en-US" w:eastAsia="zh-CN"/>
        </w:rPr>
        <w:t>2</w:t>
      </w:r>
      <w:r>
        <w:rPr>
          <w:rFonts w:hint="eastAsia" w:ascii="宋体" w:hAnsi="宋体" w:eastAsia="宋体" w:cs="宋体"/>
          <w:sz w:val="28"/>
          <w:szCs w:val="28"/>
        </w:rPr>
        <w:t>日</w:t>
      </w:r>
    </w:p>
    <w:p w14:paraId="04B359C5">
      <w:pPr>
        <w:pStyle w:val="14"/>
        <w:keepNext w:val="0"/>
        <w:keepLines w:val="0"/>
        <w:pageBreakBefore w:val="0"/>
        <w:widowControl/>
        <w:numPr>
          <w:ilvl w:val="0"/>
          <w:numId w:val="3"/>
        </w:numPr>
        <w:kinsoku/>
        <w:wordWrap/>
        <w:overflowPunct/>
        <w:topLinePunct w:val="0"/>
        <w:autoSpaceDE/>
        <w:autoSpaceDN/>
        <w:bidi w:val="0"/>
        <w:adjustRightInd w:val="0"/>
        <w:snapToGrid w:val="0"/>
        <w:spacing w:after="0" w:line="440" w:lineRule="exact"/>
        <w:ind w:firstLineChars="0"/>
        <w:textAlignment w:val="auto"/>
        <w:outlineLvl w:val="0"/>
        <w:rPr>
          <w:rFonts w:hint="eastAsia" w:ascii="宋体" w:hAnsi="宋体" w:eastAsia="宋体" w:cs="宋体"/>
          <w:b/>
          <w:sz w:val="28"/>
          <w:szCs w:val="28"/>
        </w:rPr>
      </w:pPr>
      <w:r>
        <w:rPr>
          <w:rFonts w:hint="eastAsia" w:ascii="宋体" w:hAnsi="宋体" w:eastAsia="宋体" w:cs="宋体"/>
          <w:b/>
          <w:sz w:val="28"/>
          <w:szCs w:val="28"/>
        </w:rPr>
        <w:t>竞赛地点</w:t>
      </w:r>
    </w:p>
    <w:p w14:paraId="39BA0E58">
      <w:pPr>
        <w:keepNext w:val="0"/>
        <w:keepLines w:val="0"/>
        <w:pageBreakBefore w:val="0"/>
        <w:widowControl/>
        <w:kinsoku/>
        <w:wordWrap/>
        <w:overflowPunct/>
        <w:topLinePunct w:val="0"/>
        <w:autoSpaceDE/>
        <w:autoSpaceDN/>
        <w:bidi w:val="0"/>
        <w:adjustRightInd w:val="0"/>
        <w:snapToGrid w:val="0"/>
        <w:spacing w:after="0"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rPr>
        <w:t>上海市工业技术学校</w:t>
      </w:r>
    </w:p>
    <w:p w14:paraId="09C5CE57">
      <w:pPr>
        <w:pStyle w:val="14"/>
        <w:keepNext w:val="0"/>
        <w:keepLines w:val="0"/>
        <w:pageBreakBefore w:val="0"/>
        <w:widowControl/>
        <w:numPr>
          <w:ilvl w:val="0"/>
          <w:numId w:val="3"/>
        </w:numPr>
        <w:kinsoku/>
        <w:wordWrap/>
        <w:overflowPunct/>
        <w:topLinePunct w:val="0"/>
        <w:autoSpaceDE/>
        <w:autoSpaceDN/>
        <w:bidi w:val="0"/>
        <w:adjustRightInd w:val="0"/>
        <w:snapToGrid w:val="0"/>
        <w:spacing w:after="0" w:line="440" w:lineRule="exact"/>
        <w:ind w:firstLineChars="0"/>
        <w:textAlignment w:val="auto"/>
        <w:outlineLvl w:val="0"/>
        <w:rPr>
          <w:rFonts w:hint="eastAsia" w:ascii="宋体" w:hAnsi="宋体" w:eastAsia="宋体" w:cs="宋体"/>
          <w:b/>
          <w:sz w:val="28"/>
          <w:szCs w:val="28"/>
        </w:rPr>
      </w:pPr>
      <w:r>
        <w:rPr>
          <w:rFonts w:hint="eastAsia" w:ascii="宋体" w:hAnsi="宋体" w:eastAsia="宋体" w:cs="宋体"/>
          <w:b/>
          <w:sz w:val="28"/>
          <w:szCs w:val="28"/>
        </w:rPr>
        <w:t>奖项设置</w:t>
      </w:r>
    </w:p>
    <w:p w14:paraId="3E3E05EF">
      <w:pPr>
        <w:keepNext w:val="0"/>
        <w:keepLines w:val="0"/>
        <w:pageBreakBefore w:val="0"/>
        <w:widowControl/>
        <w:kinsoku/>
        <w:wordWrap/>
        <w:overflowPunct/>
        <w:topLinePunct w:val="0"/>
        <w:autoSpaceDE/>
        <w:autoSpaceDN/>
        <w:bidi w:val="0"/>
        <w:adjustRightInd w:val="0"/>
        <w:snapToGrid w:val="0"/>
        <w:spacing w:after="0" w:line="440" w:lineRule="exact"/>
        <w:ind w:firstLine="480"/>
        <w:textAlignment w:val="auto"/>
        <w:rPr>
          <w:rFonts w:hint="eastAsia" w:ascii="宋体" w:hAnsi="宋体" w:eastAsia="宋体" w:cs="宋体"/>
          <w:sz w:val="28"/>
          <w:szCs w:val="28"/>
        </w:rPr>
      </w:pPr>
      <w:r>
        <w:rPr>
          <w:rFonts w:hint="eastAsia" w:ascii="宋体" w:hAnsi="宋体" w:eastAsia="宋体" w:cs="宋体"/>
          <w:sz w:val="28"/>
          <w:szCs w:val="28"/>
        </w:rPr>
        <w:t>竞赛设一等奖1名，二等奖3名，三等奖5名。</w:t>
      </w:r>
    </w:p>
    <w:p w14:paraId="5DE14CFE">
      <w:pPr>
        <w:keepNext w:val="0"/>
        <w:keepLines w:val="0"/>
        <w:pageBreakBefore w:val="0"/>
        <w:widowControl/>
        <w:numPr>
          <w:ilvl w:val="0"/>
          <w:numId w:val="0"/>
        </w:numPr>
        <w:kinsoku/>
        <w:wordWrap/>
        <w:overflowPunct/>
        <w:topLinePunct w:val="0"/>
        <w:autoSpaceDE/>
        <w:autoSpaceDN/>
        <w:bidi w:val="0"/>
        <w:adjustRightInd w:val="0"/>
        <w:snapToGrid w:val="0"/>
        <w:spacing w:after="0" w:line="440" w:lineRule="atLeast"/>
        <w:textAlignment w:val="auto"/>
        <w:outlineLvl w:val="0"/>
        <w:rPr>
          <w:rFonts w:hint="eastAsia" w:ascii="宋体" w:hAnsi="宋体" w:eastAsia="宋体" w:cs="宋体"/>
          <w:sz w:val="28"/>
          <w:szCs w:val="28"/>
        </w:rPr>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1"/>
      <w:numFmt w:val="bullet"/>
      <w:lvlText w:val=""/>
      <w:lvlJc w:val="left"/>
      <w:pPr>
        <w:ind w:left="420" w:hanging="420"/>
      </w:pPr>
      <w:rPr>
        <w:rFonts w:hint="default" w:ascii="Wingdings" w:hAnsi="Wingdings"/>
      </w:rPr>
    </w:lvl>
  </w:abstractNum>
  <w:abstractNum w:abstractNumId="1">
    <w:nsid w:val="00000001"/>
    <w:multiLevelType w:val="multilevel"/>
    <w:tmpl w:val="00000001"/>
    <w:lvl w:ilvl="0" w:tentative="0">
      <w:start w:val="1"/>
      <w:numFmt w:val="decimal"/>
      <w:pStyle w:val="4"/>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00000002"/>
    <w:multiLevelType w:val="multilevel"/>
    <w:tmpl w:val="00000002"/>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080" w:hanging="420"/>
      </w:pPr>
      <w:rPr>
        <w:rFonts w:hint="default" w:ascii="Wingdings" w:hAnsi="Wingdings"/>
      </w:rPr>
    </w:lvl>
    <w:lvl w:ilvl="2" w:tentative="0">
      <w:start w:val="1"/>
      <w:numFmt w:val="bullet"/>
      <w:lvlText w:val=""/>
      <w:lvlJc w:val="left"/>
      <w:pPr>
        <w:ind w:left="1500" w:hanging="420"/>
      </w:pPr>
      <w:rPr>
        <w:rFonts w:hint="default" w:ascii="Wingdings" w:hAnsi="Wingdings"/>
      </w:rPr>
    </w:lvl>
    <w:lvl w:ilvl="3" w:tentative="0">
      <w:start w:val="1"/>
      <w:numFmt w:val="bullet"/>
      <w:lvlText w:val=""/>
      <w:lvlJc w:val="left"/>
      <w:pPr>
        <w:ind w:left="1920" w:hanging="420"/>
      </w:pPr>
      <w:rPr>
        <w:rFonts w:hint="default" w:ascii="Wingdings" w:hAnsi="Wingdings"/>
      </w:rPr>
    </w:lvl>
    <w:lvl w:ilvl="4" w:tentative="0">
      <w:start w:val="1"/>
      <w:numFmt w:val="bullet"/>
      <w:lvlText w:val=""/>
      <w:lvlJc w:val="left"/>
      <w:pPr>
        <w:ind w:left="2340" w:hanging="420"/>
      </w:pPr>
      <w:rPr>
        <w:rFonts w:hint="default" w:ascii="Wingdings" w:hAnsi="Wingdings"/>
      </w:rPr>
    </w:lvl>
    <w:lvl w:ilvl="5" w:tentative="0">
      <w:start w:val="1"/>
      <w:numFmt w:val="bullet"/>
      <w:lvlText w:val=""/>
      <w:lvlJc w:val="left"/>
      <w:pPr>
        <w:ind w:left="2760" w:hanging="420"/>
      </w:pPr>
      <w:rPr>
        <w:rFonts w:hint="default" w:ascii="Wingdings" w:hAnsi="Wingdings"/>
      </w:rPr>
    </w:lvl>
    <w:lvl w:ilvl="6" w:tentative="0">
      <w:start w:val="1"/>
      <w:numFmt w:val="bullet"/>
      <w:lvlText w:val=""/>
      <w:lvlJc w:val="left"/>
      <w:pPr>
        <w:ind w:left="3180" w:hanging="420"/>
      </w:pPr>
      <w:rPr>
        <w:rFonts w:hint="default" w:ascii="Wingdings" w:hAnsi="Wingdings"/>
      </w:rPr>
    </w:lvl>
    <w:lvl w:ilvl="7" w:tentative="0">
      <w:start w:val="1"/>
      <w:numFmt w:val="bullet"/>
      <w:lvlText w:val=""/>
      <w:lvlJc w:val="left"/>
      <w:pPr>
        <w:ind w:left="3600" w:hanging="420"/>
      </w:pPr>
      <w:rPr>
        <w:rFonts w:hint="default" w:ascii="Wingdings" w:hAnsi="Wingdings"/>
      </w:rPr>
    </w:lvl>
    <w:lvl w:ilvl="8" w:tentative="0">
      <w:start w:val="1"/>
      <w:numFmt w:val="bullet"/>
      <w:lvlText w:val=""/>
      <w:lvlJc w:val="left"/>
      <w:pPr>
        <w:ind w:left="4020" w:hanging="420"/>
      </w:pPr>
      <w:rPr>
        <w:rFonts w:hint="default" w:ascii="Wingdings" w:hAnsi="Wingdings"/>
      </w:rPr>
    </w:lvl>
  </w:abstractNum>
  <w:abstractNum w:abstractNumId="3">
    <w:nsid w:val="00000003"/>
    <w:multiLevelType w:val="multilevel"/>
    <w:tmpl w:val="00000003"/>
    <w:lvl w:ilvl="0" w:tentative="0">
      <w:start w:val="1"/>
      <w:numFmt w:val="japaneseCounting"/>
      <w:lvlText w:val="%1、"/>
      <w:lvlJc w:val="left"/>
      <w:pPr>
        <w:ind w:left="1250" w:hanging="690"/>
      </w:pPr>
      <w:rPr>
        <w:rFonts w:hint="default"/>
        <w:b/>
        <w:sz w:val="28"/>
        <w:szCs w:val="28"/>
        <w:lang w:val="en-US"/>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4">
    <w:nsid w:val="00000004"/>
    <w:multiLevelType w:val="multilevel"/>
    <w:tmpl w:val="00000004"/>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080" w:hanging="420"/>
      </w:pPr>
      <w:rPr>
        <w:rFonts w:hint="default" w:ascii="Wingdings" w:hAnsi="Wingdings"/>
      </w:rPr>
    </w:lvl>
    <w:lvl w:ilvl="2" w:tentative="0">
      <w:start w:val="1"/>
      <w:numFmt w:val="bullet"/>
      <w:lvlText w:val=""/>
      <w:lvlJc w:val="left"/>
      <w:pPr>
        <w:ind w:left="1500" w:hanging="420"/>
      </w:pPr>
      <w:rPr>
        <w:rFonts w:hint="default" w:ascii="Wingdings" w:hAnsi="Wingdings"/>
      </w:rPr>
    </w:lvl>
    <w:lvl w:ilvl="3" w:tentative="0">
      <w:start w:val="1"/>
      <w:numFmt w:val="bullet"/>
      <w:lvlText w:val=""/>
      <w:lvlJc w:val="left"/>
      <w:pPr>
        <w:ind w:left="1920" w:hanging="420"/>
      </w:pPr>
      <w:rPr>
        <w:rFonts w:hint="default" w:ascii="Wingdings" w:hAnsi="Wingdings"/>
      </w:rPr>
    </w:lvl>
    <w:lvl w:ilvl="4" w:tentative="0">
      <w:start w:val="1"/>
      <w:numFmt w:val="bullet"/>
      <w:lvlText w:val=""/>
      <w:lvlJc w:val="left"/>
      <w:pPr>
        <w:ind w:left="2340" w:hanging="420"/>
      </w:pPr>
      <w:rPr>
        <w:rFonts w:hint="default" w:ascii="Wingdings" w:hAnsi="Wingdings"/>
      </w:rPr>
    </w:lvl>
    <w:lvl w:ilvl="5" w:tentative="0">
      <w:start w:val="1"/>
      <w:numFmt w:val="bullet"/>
      <w:lvlText w:val=""/>
      <w:lvlJc w:val="left"/>
      <w:pPr>
        <w:ind w:left="2760" w:hanging="420"/>
      </w:pPr>
      <w:rPr>
        <w:rFonts w:hint="default" w:ascii="Wingdings" w:hAnsi="Wingdings"/>
      </w:rPr>
    </w:lvl>
    <w:lvl w:ilvl="6" w:tentative="0">
      <w:start w:val="1"/>
      <w:numFmt w:val="bullet"/>
      <w:lvlText w:val=""/>
      <w:lvlJc w:val="left"/>
      <w:pPr>
        <w:ind w:left="3180" w:hanging="420"/>
      </w:pPr>
      <w:rPr>
        <w:rFonts w:hint="default" w:ascii="Wingdings" w:hAnsi="Wingdings"/>
      </w:rPr>
    </w:lvl>
    <w:lvl w:ilvl="7" w:tentative="0">
      <w:start w:val="1"/>
      <w:numFmt w:val="bullet"/>
      <w:lvlText w:val=""/>
      <w:lvlJc w:val="left"/>
      <w:pPr>
        <w:ind w:left="3600" w:hanging="420"/>
      </w:pPr>
      <w:rPr>
        <w:rFonts w:hint="default" w:ascii="Wingdings" w:hAnsi="Wingdings"/>
      </w:rPr>
    </w:lvl>
    <w:lvl w:ilvl="8" w:tentative="0">
      <w:start w:val="1"/>
      <w:numFmt w:val="bullet"/>
      <w:lvlText w:val=""/>
      <w:lvlJc w:val="left"/>
      <w:pPr>
        <w:ind w:left="4020" w:hanging="420"/>
      </w:pPr>
      <w:rPr>
        <w:rFonts w:hint="default" w:ascii="Wingdings" w:hAnsi="Wingdings"/>
      </w:rPr>
    </w:lvl>
  </w:abstractNum>
  <w:abstractNum w:abstractNumId="5">
    <w:nsid w:val="00000005"/>
    <w:multiLevelType w:val="multilevel"/>
    <w:tmpl w:val="00000005"/>
    <w:lvl w:ilvl="0" w:tentative="0">
      <w:start w:val="1"/>
      <w:numFmt w:val="decimal"/>
      <w:pStyle w:val="3"/>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5"/>
  </w:num>
  <w:num w:numId="2">
    <w:abstractNumId w:val="1"/>
  </w:num>
  <w:num w:numId="3">
    <w:abstractNumId w:val="3"/>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5MDI1NWVlZTA3M2EwNDgwMWZmY2JjMGZkNDBiZjQifQ=="/>
  </w:docVars>
  <w:rsids>
    <w:rsidRoot w:val="00000000"/>
    <w:rsid w:val="0421335B"/>
    <w:rsid w:val="13512012"/>
    <w:rsid w:val="2163252A"/>
    <w:rsid w:val="39EA3743"/>
    <w:rsid w:val="4EAB5EFE"/>
    <w:rsid w:val="5BDA74B9"/>
    <w:rsid w:val="668A3181"/>
    <w:rsid w:val="74AC70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微软雅黑" w:cs="Times New Roman"/>
      <w:sz w:val="22"/>
      <w:szCs w:val="22"/>
      <w:lang w:val="en-US" w:eastAsia="zh-CN" w:bidi="ar-SA"/>
    </w:rPr>
  </w:style>
  <w:style w:type="paragraph" w:styleId="3">
    <w:name w:val="heading 1"/>
    <w:basedOn w:val="1"/>
    <w:next w:val="1"/>
    <w:qFormat/>
    <w:uiPriority w:val="9"/>
    <w:pPr>
      <w:keepNext/>
      <w:keepLines/>
      <w:numPr>
        <w:ilvl w:val="0"/>
        <w:numId w:val="1"/>
      </w:numPr>
      <w:spacing w:before="340" w:after="330" w:line="578" w:lineRule="auto"/>
      <w:outlineLvl w:val="0"/>
    </w:pPr>
    <w:rPr>
      <w:b/>
      <w:bCs/>
      <w:kern w:val="44"/>
      <w:sz w:val="44"/>
      <w:szCs w:val="44"/>
    </w:rPr>
  </w:style>
  <w:style w:type="paragraph" w:styleId="4">
    <w:name w:val="heading 2"/>
    <w:basedOn w:val="1"/>
    <w:next w:val="1"/>
    <w:qFormat/>
    <w:uiPriority w:val="9"/>
    <w:pPr>
      <w:keepNext/>
      <w:keepLines/>
      <w:numPr>
        <w:ilvl w:val="0"/>
        <w:numId w:val="2"/>
      </w:numPr>
      <w:spacing w:before="260" w:after="260" w:line="416" w:lineRule="auto"/>
      <w:outlineLvl w:val="1"/>
    </w:pPr>
    <w:rPr>
      <w:rFonts w:ascii="Cambria" w:hAnsi="Cambria" w:eastAsia="宋体" w:cs="宋体"/>
      <w:b/>
      <w:bCs/>
      <w:sz w:val="32"/>
      <w:szCs w:val="32"/>
    </w:rPr>
  </w:style>
  <w:style w:type="character" w:default="1" w:styleId="13">
    <w:name w:val="Default Paragraph Font"/>
    <w:qFormat/>
    <w:uiPriority w:val="1"/>
  </w:style>
  <w:style w:type="table" w:default="1" w:styleId="11">
    <w:name w:val="Normal Table"/>
    <w:qFormat/>
    <w:uiPriority w:val="99"/>
    <w:tblPr>
      <w:tblCellMar>
        <w:top w:w="0" w:type="dxa"/>
        <w:left w:w="108" w:type="dxa"/>
        <w:bottom w:w="0" w:type="dxa"/>
        <w:right w:w="108" w:type="dxa"/>
      </w:tblCellMar>
    </w:tblPr>
  </w:style>
  <w:style w:type="paragraph" w:styleId="2">
    <w:name w:val="Body Text"/>
    <w:basedOn w:val="1"/>
    <w:next w:val="1"/>
    <w:qFormat/>
    <w:uiPriority w:val="1"/>
    <w:pPr>
      <w:spacing w:after="120"/>
    </w:pPr>
  </w:style>
  <w:style w:type="paragraph" w:styleId="5">
    <w:name w:val="Body Text Indent"/>
    <w:basedOn w:val="1"/>
    <w:link w:val="16"/>
    <w:qFormat/>
    <w:uiPriority w:val="0"/>
    <w:pPr>
      <w:widowControl w:val="0"/>
      <w:adjustRightInd/>
      <w:snapToGrid/>
      <w:spacing w:after="0"/>
      <w:ind w:firstLine="600" w:firstLineChars="200"/>
      <w:jc w:val="both"/>
    </w:pPr>
    <w:rPr>
      <w:rFonts w:ascii="Times New Roman" w:hAnsi="Times New Roman" w:eastAsia="宋体"/>
      <w:kern w:val="2"/>
      <w:sz w:val="30"/>
      <w:szCs w:val="24"/>
    </w:rPr>
  </w:style>
  <w:style w:type="paragraph" w:styleId="6">
    <w:name w:val="Date"/>
    <w:basedOn w:val="1"/>
    <w:next w:val="1"/>
    <w:link w:val="15"/>
    <w:qFormat/>
    <w:uiPriority w:val="99"/>
    <w:pPr>
      <w:ind w:left="100" w:leftChars="2500"/>
    </w:pPr>
    <w:rPr>
      <w:sz w:val="20"/>
      <w:szCs w:val="20"/>
    </w:rPr>
  </w:style>
  <w:style w:type="paragraph" w:styleId="7">
    <w:name w:val="Balloon Text"/>
    <w:basedOn w:val="1"/>
    <w:link w:val="17"/>
    <w:qFormat/>
    <w:uiPriority w:val="99"/>
    <w:pPr>
      <w:spacing w:after="0"/>
    </w:pPr>
    <w:rPr>
      <w:sz w:val="18"/>
      <w:szCs w:val="18"/>
    </w:rPr>
  </w:style>
  <w:style w:type="paragraph" w:styleId="8">
    <w:name w:val="footer"/>
    <w:basedOn w:val="1"/>
    <w:link w:val="19"/>
    <w:qFormat/>
    <w:uiPriority w:val="99"/>
    <w:pPr>
      <w:tabs>
        <w:tab w:val="center" w:pos="4153"/>
        <w:tab w:val="right" w:pos="8306"/>
      </w:tabs>
    </w:pPr>
    <w:rPr>
      <w:sz w:val="18"/>
      <w:szCs w:val="18"/>
    </w:rPr>
  </w:style>
  <w:style w:type="paragraph" w:styleId="9">
    <w:name w:val="header"/>
    <w:basedOn w:val="1"/>
    <w:link w:val="18"/>
    <w:qFormat/>
    <w:uiPriority w:val="99"/>
    <w:pPr>
      <w:pBdr>
        <w:bottom w:val="single" w:color="auto" w:sz="6" w:space="1"/>
      </w:pBdr>
      <w:tabs>
        <w:tab w:val="center" w:pos="4153"/>
        <w:tab w:val="right" w:pos="8306"/>
      </w:tabs>
      <w:jc w:val="center"/>
    </w:pPr>
    <w:rPr>
      <w:sz w:val="18"/>
      <w:szCs w:val="18"/>
    </w:rPr>
  </w:style>
  <w:style w:type="paragraph" w:styleId="10">
    <w:name w:val="Normal (Web)"/>
    <w:basedOn w:val="1"/>
    <w:qFormat/>
    <w:uiPriority w:val="0"/>
    <w:pPr>
      <w:adjustRightInd/>
      <w:snapToGrid/>
      <w:spacing w:before="100" w:beforeAutospacing="1" w:after="100" w:afterAutospacing="1"/>
    </w:pPr>
    <w:rPr>
      <w:rFonts w:ascii="宋体" w:hAnsi="宋体" w:eastAsia="宋体" w:cs="宋体"/>
      <w:sz w:val="24"/>
      <w:szCs w:val="24"/>
    </w:rPr>
  </w:style>
  <w:style w:type="table" w:styleId="12">
    <w:name w:val="Table Grid"/>
    <w:basedOn w:val="1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4">
    <w:name w:val="List Paragraph"/>
    <w:basedOn w:val="1"/>
    <w:qFormat/>
    <w:uiPriority w:val="34"/>
    <w:pPr>
      <w:ind w:firstLine="420" w:firstLineChars="200"/>
    </w:pPr>
  </w:style>
  <w:style w:type="character" w:customStyle="1" w:styleId="15">
    <w:name w:val="日期 字符"/>
    <w:link w:val="6"/>
    <w:qFormat/>
    <w:uiPriority w:val="99"/>
    <w:rPr>
      <w:rFonts w:ascii="Tahoma" w:hAnsi="Tahoma"/>
    </w:rPr>
  </w:style>
  <w:style w:type="character" w:customStyle="1" w:styleId="16">
    <w:name w:val="正文文本缩进 字符"/>
    <w:link w:val="5"/>
    <w:qFormat/>
    <w:uiPriority w:val="0"/>
    <w:rPr>
      <w:rFonts w:ascii="Times New Roman" w:hAnsi="Times New Roman" w:eastAsia="宋体" w:cs="Times New Roman"/>
      <w:kern w:val="2"/>
      <w:sz w:val="30"/>
      <w:szCs w:val="24"/>
    </w:rPr>
  </w:style>
  <w:style w:type="character" w:customStyle="1" w:styleId="17">
    <w:name w:val="批注框文本 字符"/>
    <w:link w:val="7"/>
    <w:qFormat/>
    <w:uiPriority w:val="99"/>
    <w:rPr>
      <w:rFonts w:ascii="Tahoma" w:hAnsi="Tahoma"/>
      <w:sz w:val="18"/>
      <w:szCs w:val="18"/>
    </w:rPr>
  </w:style>
  <w:style w:type="character" w:customStyle="1" w:styleId="18">
    <w:name w:val="页眉 字符"/>
    <w:link w:val="9"/>
    <w:qFormat/>
    <w:uiPriority w:val="99"/>
    <w:rPr>
      <w:rFonts w:ascii="Tahoma" w:hAnsi="Tahoma"/>
      <w:sz w:val="18"/>
      <w:szCs w:val="18"/>
    </w:rPr>
  </w:style>
  <w:style w:type="character" w:customStyle="1" w:styleId="19">
    <w:name w:val="页脚 字符"/>
    <w:link w:val="8"/>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13</Pages>
  <Words>6844</Words>
  <Characters>7246</Characters>
  <Paragraphs>345</Paragraphs>
  <TotalTime>85</TotalTime>
  <ScaleCrop>false</ScaleCrop>
  <LinksUpToDate>false</LinksUpToDate>
  <CharactersWithSpaces>7288</CharactersWithSpaces>
  <Application>WPS Office_12.1.0.17150_F1E327BC-269C-435d-A152-05C5408002CA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2021-08-11T00:04:00Z</dcterms:created>
  <dc:creator>DELL</dc:creator>
  <cp:lastModifiedBy>朱松杰</cp:lastModifiedBy>
  <cp:lastPrinted>2017-08-08T22:02:00Z</cp:lastPrinted>
  <dcterms:modified xsi:type="dcterms:W3CDTF">2024-08-19T03:15:41Z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2052-12.1.0.17150</vt:lpwstr>
  </property>
  <property fmtid="{D5CDD505-2E9C-101B-9397-08002B2CF9AE}" pid="3" name="ICV">
    <vt:lpwstr>11210EE3E1C6430E81C8F460B66D9918_13</vt:lpwstr>
  </property>
</Properties>
</file>