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DEE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jc w:val="center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第十二届“中华杯”现代智慧厨房创新菜烹饪竞赛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 w14:paraId="210578C8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 w14:paraId="69F757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秉承中华职业教育社优良传统，大力弘扬工匠精神，坚持“面向社会、面向青年、面向技能”的竞赛宗旨，为具有智慧厨房运用的技能型人才搭建展示技艺的平台，提供切磋交流的载体，营造崇尚技能、匠心筑梦的良好社会氛围。 </w:t>
      </w:r>
    </w:p>
    <w:p w14:paraId="50D7BD2D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 w14:paraId="7F8135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</w:p>
    <w:p w14:paraId="1AF9B3C5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承办协办单位</w:t>
      </w:r>
    </w:p>
    <w:p w14:paraId="78724C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浦东新区中华职业教育社、上海市第二轻工业学校、上海凯航通力船用设备有限公司</w:t>
      </w:r>
    </w:p>
    <w:p w14:paraId="53E72275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 w14:paraId="6521CA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本市餐饮企业从业人员及职业院校烹饪专业学生</w:t>
      </w:r>
    </w:p>
    <w:p w14:paraId="5C6B34CF">
      <w:pPr>
        <w:pStyle w:val="13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after="0" w:line="440" w:lineRule="exact"/>
        <w:ind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 w14:paraId="17D5D0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报名日期：2024年9月30日前</w:t>
      </w:r>
    </w:p>
    <w:p w14:paraId="00BED0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报名时填写“2024年第十二届上海市‘中华杯’职业技能竞赛报名表”，可用电子邮件形式通过网上报名。</w:t>
      </w:r>
    </w:p>
    <w:p w14:paraId="334801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t>maxiaoliang@eqxx.edu.cn</w:t>
      </w:r>
    </w:p>
    <w:p w14:paraId="6C6A20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 xml:space="preserve">：马老师      </w:t>
      </w:r>
      <w:r>
        <w:rPr>
          <w:rFonts w:hint="eastAsia" w:ascii="宋体" w:hAnsi="宋体" w:eastAsia="宋体" w:cs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 w:cs="宋体"/>
          <w:sz w:val="28"/>
          <w:szCs w:val="28"/>
        </w:rPr>
        <w:t>15221201466</w:t>
      </w:r>
    </w:p>
    <w:p w14:paraId="3E6E15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六、参赛规则</w:t>
      </w:r>
    </w:p>
    <w:p w14:paraId="204EB6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1.一名选手可带一名参赛助手进场，参与比赛，但参赛助手只负责完成辅助工作。</w:t>
      </w:r>
    </w:p>
    <w:p w14:paraId="06AD9E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2</w:t>
      </w: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.所有进场</w:t>
      </w:r>
      <w:r>
        <w:rPr>
          <w:rFonts w:hint="eastAsia" w:ascii="宋体" w:hAnsi="宋体" w:eastAsia="宋体" w:cs="宋体"/>
          <w:sz w:val="28"/>
          <w:szCs w:val="28"/>
          <w:lang w:val="zh-TW"/>
        </w:rPr>
        <w:t xml:space="preserve">选手、参赛助手须凭本人选手证和身份证原件(或附带照片的社会保障卡、公安局核发的机动车驾驶证)进入赛场，证件信息须与准考证信息一致，否则不得参加比赛。(以上证件复印件无效) </w:t>
      </w:r>
    </w:p>
    <w:p w14:paraId="4DB89C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 w:eastAsia="zh-TW"/>
        </w:rPr>
        <w:t>3</w:t>
      </w:r>
      <w:r>
        <w:rPr>
          <w:rFonts w:hint="eastAsia" w:ascii="宋体" w:hAnsi="宋体" w:eastAsia="宋体" w:cs="宋体"/>
          <w:sz w:val="28"/>
          <w:szCs w:val="28"/>
          <w:lang w:val="zh-TW"/>
        </w:rPr>
        <w:t>.选手参加竞赛要准时报到，迟到</w:t>
      </w: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  <w:lang w:val="zh-TW"/>
        </w:rPr>
        <w:t>分钟以上者将取消比赛资格。</w:t>
      </w:r>
    </w:p>
    <w:p w14:paraId="3E676F8E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3.选手须遵守竞赛的有关规定，不得弄虚作假，发现作弊即取消比赛资格。</w:t>
      </w:r>
    </w:p>
    <w:p w14:paraId="212F722E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4.选手须严格遵守考场</w:t>
      </w:r>
      <w:r>
        <w:rPr>
          <w:rFonts w:hint="eastAsia" w:ascii="宋体" w:hAnsi="宋体" w:eastAsia="宋体" w:cs="宋体"/>
          <w:sz w:val="28"/>
          <w:szCs w:val="28"/>
        </w:rPr>
        <w:t>相</w:t>
      </w:r>
      <w:r>
        <w:rPr>
          <w:rFonts w:hint="eastAsia" w:ascii="宋体" w:hAnsi="宋体" w:eastAsia="宋体" w:cs="宋体"/>
          <w:sz w:val="28"/>
          <w:szCs w:val="28"/>
          <w:lang w:val="zh-TW"/>
        </w:rPr>
        <w:t>关规定，自觉服从裁判长、裁判员和赛场工作人员的管理。</w:t>
      </w:r>
    </w:p>
    <w:p w14:paraId="343C0F26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5.选手着装、用品等在外观上均不</w:t>
      </w:r>
      <w:r>
        <w:rPr>
          <w:rFonts w:hint="eastAsia" w:ascii="宋体" w:hAnsi="宋体" w:eastAsia="宋体" w:cs="宋体"/>
          <w:sz w:val="28"/>
          <w:szCs w:val="28"/>
        </w:rPr>
        <w:t>得</w:t>
      </w:r>
      <w:r>
        <w:rPr>
          <w:rFonts w:hint="eastAsia" w:ascii="宋体" w:hAnsi="宋体" w:eastAsia="宋体" w:cs="宋体"/>
          <w:sz w:val="28"/>
          <w:szCs w:val="28"/>
          <w:lang w:val="zh-TW"/>
        </w:rPr>
        <w:t>显示选手所在单位等信息。</w:t>
      </w:r>
    </w:p>
    <w:p w14:paraId="7F1E06BC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6.选手参加比赛，应穿戴整洁，符合西餐厨师职业要求，衣冠不端者不可入内。</w:t>
      </w:r>
    </w:p>
    <w:p w14:paraId="3DF543A6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7.选手应爱护赛场设施设备，操作规范，注意安全，保持比赛场地卫生，若违反安全操作规定造成的损失由选手负责。</w:t>
      </w:r>
    </w:p>
    <w:p w14:paraId="0530F9C5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57" w:firstLineChars="199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  <w:lang w:val="zh-TW"/>
        </w:rPr>
        <w:t>8.对竞赛成绩有任何异议，请于竞赛结束后两小时内向组委会提出书面申诉。</w:t>
      </w:r>
    </w:p>
    <w:p w14:paraId="42EAB27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TW"/>
        </w:rPr>
      </w:pPr>
      <w:r>
        <w:rPr>
          <w:rFonts w:hint="eastAsia" w:ascii="宋体" w:hAnsi="宋体" w:eastAsia="宋体" w:cs="宋体"/>
          <w:sz w:val="28"/>
          <w:szCs w:val="28"/>
        </w:rPr>
        <w:t>9.</w:t>
      </w:r>
      <w:r>
        <w:rPr>
          <w:rFonts w:hint="eastAsia" w:ascii="宋体" w:hAnsi="宋体" w:eastAsia="宋体" w:cs="宋体"/>
          <w:sz w:val="28"/>
          <w:szCs w:val="28"/>
          <w:lang w:val="zh-TW"/>
        </w:rPr>
        <w:t>选手在比赛中严禁使用各类通讯工具。</w:t>
      </w:r>
    </w:p>
    <w:p w14:paraId="40CD460A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440" w:lineRule="exact"/>
        <w:ind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七、</w:t>
      </w: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p w14:paraId="1E04BA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在规定时间内选手完成一道明虾为主料的西餐主菜、一道以鸡肉为主料的中餐热菜、一道纸杯蛋糕。每道菜点制作2份位上装盘及10位大众评委手指菜品尝。菜品搭配必须体现时令原料的运用。</w:t>
      </w:r>
    </w:p>
    <w:p w14:paraId="3662B5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1.比赛时间：共90分钟。</w:t>
      </w:r>
    </w:p>
    <w:p w14:paraId="03E475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2.赛场准备：</w:t>
      </w:r>
    </w:p>
    <w:p w14:paraId="6E7A94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（1）基本调味料：盐、白胡椒粉、食用油。</w:t>
      </w:r>
    </w:p>
    <w:p w14:paraId="6FA640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（2）基础设施设备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(见附件1)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802B3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3.比赛规程:</w:t>
      </w:r>
    </w:p>
    <w:p w14:paraId="7AB777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left="220" w:leftChars="100" w:firstLine="420" w:firstLineChars="15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选手在规定时间内现场使用智慧厨房设备烹饪完成三道菜点制作，所有原料自备。</w:t>
      </w:r>
    </w:p>
    <w:p w14:paraId="6B6FD7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4.比赛要求</w:t>
      </w:r>
    </w:p>
    <w:p w14:paraId="3CBD0B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(1)每道菜点选手现场制作2份装盘一致的位上作品，一份评委评分，一份交流展示；每道菜点准备10人份手指菜供大众评委品尝。</w:t>
      </w:r>
    </w:p>
    <w:p w14:paraId="3B78A9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(2)选手在报到时抽签递交菜品描述单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（见附件3）</w:t>
      </w:r>
      <w:r>
        <w:rPr>
          <w:rFonts w:hint="eastAsia" w:ascii="宋体" w:hAnsi="宋体" w:eastAsia="宋体" w:cs="宋体"/>
          <w:sz w:val="28"/>
          <w:szCs w:val="28"/>
        </w:rPr>
        <w:t>并领取菜名卡，在赛前完成菜名填写，比赛完成时随菜品一起上交。</w:t>
      </w:r>
    </w:p>
    <w:p w14:paraId="1F1245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(3)选手须自带符合装盘要求的盘碟，但2份菜品的菜盘必须一致，手指餐装盘现场提供14寸平盘，在评判结束后方可取回。</w:t>
      </w:r>
    </w:p>
    <w:p w14:paraId="1AFCC4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5.评分规则</w:t>
      </w:r>
    </w:p>
    <w:p w14:paraId="50F90B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参照世界技能大赛评分规则执行，分为主观评分（60分）和客观评分（40分）两类评分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（见附件2）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7D3E5906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八</w:t>
      </w: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sz w:val="28"/>
          <w:szCs w:val="28"/>
        </w:rPr>
        <w:t>竞赛时间</w:t>
      </w:r>
    </w:p>
    <w:p w14:paraId="5BEA2B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2024年10月26日</w:t>
      </w:r>
    </w:p>
    <w:p w14:paraId="419C2B74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 w:bidi="ar-SA"/>
        </w:rPr>
        <w:t>九</w:t>
      </w: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sz w:val="28"/>
          <w:szCs w:val="28"/>
        </w:rPr>
        <w:t>竞赛地点</w:t>
      </w:r>
    </w:p>
    <w:p w14:paraId="552A4D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上海市第二轻工业学校（浦东新区沈家弄路650号）西餐烹饪实训中心</w:t>
      </w:r>
    </w:p>
    <w:p w14:paraId="52FC03FE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000000"/>
          <w:sz w:val="28"/>
          <w:szCs w:val="28"/>
          <w:u w:color="000000"/>
          <w:lang w:val="zh-TW" w:eastAsia="zh-CN" w:bidi="ar-SA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u w:color="000000"/>
          <w:lang w:val="en-US" w:eastAsia="zh-CN" w:bidi="ar-SA"/>
        </w:rPr>
        <w:t>十</w:t>
      </w:r>
      <w:r>
        <w:rPr>
          <w:rFonts w:hint="default" w:ascii="宋体" w:hAnsi="宋体" w:eastAsia="宋体" w:cs="宋体"/>
          <w:b/>
          <w:color w:val="000000"/>
          <w:sz w:val="28"/>
          <w:szCs w:val="28"/>
          <w:u w:color="000000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color="000000"/>
          <w:lang w:val="zh-TW" w:eastAsia="zh-CN" w:bidi="ar-SA"/>
        </w:rPr>
        <w:t>奖项设置</w:t>
      </w:r>
    </w:p>
    <w:p w14:paraId="2931F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  <w:u w:color="000000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竞赛设一等奖1名，二等奖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名，三等奖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名。</w:t>
      </w:r>
    </w:p>
    <w:p w14:paraId="7CB81A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u w:color="000000"/>
          <w:lang w:val="zh-TW"/>
        </w:rPr>
        <w:t>十一、注意事项</w:t>
      </w:r>
    </w:p>
    <w:p w14:paraId="3DD79D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1.选手应在竞赛前至少30分钟，凭本人身份证办理报到，迟到15分钟者严禁入场。</w:t>
      </w:r>
    </w:p>
    <w:p w14:paraId="13CE8B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2.进入考场后，选手应按要求进入指定工位。</w:t>
      </w:r>
    </w:p>
    <w:p w14:paraId="75C03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3.在裁判未发出开始竞赛的信号前，选手不可提前进行操作。</w:t>
      </w:r>
    </w:p>
    <w:p w14:paraId="6B5604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4.选手必须独立完成菜品制作，除征得裁判长许可，否则严禁与其他选手、与会人员和本单位裁判交流接触。</w:t>
      </w:r>
    </w:p>
    <w:p w14:paraId="5DFAED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5.选手不得在竞赛作品上作任何标记。</w:t>
      </w:r>
    </w:p>
    <w:p w14:paraId="7E75F6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6.竞赛期间，选手遇有问题时应向裁判举手示意，由裁判与现场工作人员负责处理，切勿自行处理。</w:t>
      </w:r>
    </w:p>
    <w:p w14:paraId="0E7DA2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7.在裁判发出结束竞赛的时间信号后，选手须立即停止操作，依次有序地离开赛场。</w:t>
      </w:r>
    </w:p>
    <w:p w14:paraId="04C65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.选手在参赛过程中，必须服从场内裁判和工作人员的指挥，严格按照制作规程进行操作，正确使用器具和设备，在工作人员指挥下进行用火操作，如出现非正常起火，立即关闭燃气阀门并向工作人员举手汇报。</w:t>
      </w:r>
    </w:p>
    <w:p w14:paraId="48BF66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 w:eastAsia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 w:eastAsia="zh-TW"/>
        </w:rPr>
        <w:t>9.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所有原料、盘碟等选手自带，也可自带除赛场提供以外的工具。</w:t>
      </w:r>
    </w:p>
    <w:p w14:paraId="71BB24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十二、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color="000000"/>
          <w:lang w:val="zh-TW"/>
        </w:rPr>
        <w:t>观众要求</w:t>
      </w:r>
    </w:p>
    <w:p w14:paraId="3371D8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允许进入赛场的人员，只可在安全区内观摩竞赛。</w:t>
      </w:r>
    </w:p>
    <w:p w14:paraId="318A50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允许进入赛场的人员，应遵守赛场规则，不得与选手交谈，不得妨碍或干扰选手竞赛。</w:t>
      </w:r>
    </w:p>
    <w:p w14:paraId="2230E8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</w:rPr>
        <w:t>3.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允许进入学校的所有人员，不得在校内吸烟。</w:t>
      </w:r>
    </w:p>
    <w:p w14:paraId="494E30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十三、绿色环保要求</w:t>
      </w:r>
    </w:p>
    <w:p w14:paraId="5797BE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1.赛场严格遵守我国环境保护法。</w:t>
      </w:r>
    </w:p>
    <w:p w14:paraId="736378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2.赛场所有废弃物应有效的做分类处理，尽可能地回收利用。</w:t>
      </w:r>
    </w:p>
    <w:p w14:paraId="4A1691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textAlignment w:val="auto"/>
        <w:rPr>
          <w:rFonts w:hint="eastAsia" w:ascii="宋体" w:hAnsi="宋体" w:eastAsia="宋体" w:cs="宋体"/>
          <w:b/>
          <w:sz w:val="28"/>
          <w:szCs w:val="28"/>
          <w:lang w:eastAsia="zh-TW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TW"/>
        </w:rPr>
        <w:br w:type="page"/>
      </w:r>
    </w:p>
    <w:p w14:paraId="5ED4CDCB">
      <w:pPr>
        <w:spacing w:after="0"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附件1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基础设施设备</w:t>
      </w:r>
    </w:p>
    <w:p w14:paraId="24E7D97D">
      <w:pPr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</w:rPr>
        <w:t>以下为赛场可为选手提供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的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  <w:t>设备和器具。</w:t>
      </w:r>
    </w:p>
    <w:tbl>
      <w:tblPr>
        <w:tblStyle w:val="10"/>
        <w:tblpPr w:leftFromText="180" w:rightFromText="180" w:vertAnchor="text" w:horzAnchor="margin" w:tblpXSpec="center" w:tblpY="10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1434"/>
        <w:gridCol w:w="1386"/>
        <w:gridCol w:w="2063"/>
      </w:tblGrid>
      <w:tr w14:paraId="5F396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74" w:type="dxa"/>
            <w:shd w:val="clear" w:color="auto" w:fill="auto"/>
            <w:vAlign w:val="bottom"/>
          </w:tcPr>
          <w:p w14:paraId="6D8F43BC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设备名称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C266D66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93F9D52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2063" w:type="dxa"/>
            <w:shd w:val="clear" w:color="auto" w:fill="auto"/>
            <w:vAlign w:val="bottom"/>
          </w:tcPr>
          <w:p w14:paraId="788346A0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5C4E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center"/>
          </w:tcPr>
          <w:p w14:paraId="3755FC6B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万能蒸烤箱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8C178F9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4ADC1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FE982DF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公共区域放置，每位选手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台</w:t>
            </w:r>
          </w:p>
        </w:tc>
      </w:tr>
      <w:tr w14:paraId="212F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center"/>
          </w:tcPr>
          <w:p w14:paraId="45E496BA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四头燃气灶下联烤箱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D7739E1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F4648D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7C239C8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7657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center"/>
          </w:tcPr>
          <w:p w14:paraId="3895F77D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  <w:lang w:val="zh-TW"/>
              </w:rPr>
              <w:t>冷藏柜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C444D5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  <w:lang w:val="zh-TW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3575DF8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9BCAD77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5913E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974" w:type="dxa"/>
            <w:shd w:val="clear" w:color="auto" w:fill="auto"/>
            <w:vAlign w:val="bottom"/>
          </w:tcPr>
          <w:p w14:paraId="14292D7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设备台</w:t>
            </w:r>
          </w:p>
          <w:p w14:paraId="0AC15F2F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（工作台）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376D4FB6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797D77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7314AEB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  <w:lang w:val="zh-TW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51BD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6ACB4E4A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单星盆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48769A4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9EC7CB1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0784A0B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7F72F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6FEDD4F6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蓝、绿、红、黄、白色砧板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20FCBEB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套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30EB53D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64BA7D8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每个工位每个颜色各一块</w:t>
            </w:r>
          </w:p>
        </w:tc>
      </w:tr>
      <w:tr w14:paraId="43D4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7952CAA9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砧板架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835A050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C54250F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31E7E01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35D5B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4F01ECE9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深锅带分餐勺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7EA74CC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88F7AE5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36A734A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2B6E2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63F5DA5E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平底锅带木柄锅铲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9C73265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E53C4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A459B94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44623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3C4C170F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烤盘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E1D74BD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B144BC7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20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4ABF852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公共区域放置</w:t>
            </w:r>
          </w:p>
        </w:tc>
      </w:tr>
      <w:tr w14:paraId="5E96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062F1154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伏插座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6B886F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01E0467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A9B9B04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每个工位配置</w:t>
            </w:r>
          </w:p>
        </w:tc>
      </w:tr>
      <w:tr w14:paraId="59D9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shd w:val="clear" w:color="auto" w:fill="auto"/>
            <w:vAlign w:val="center"/>
          </w:tcPr>
          <w:p w14:paraId="5760E607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制冰机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3B658072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FFD7074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8CFE036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公共区域取用冰块</w:t>
            </w:r>
          </w:p>
        </w:tc>
      </w:tr>
      <w:tr w14:paraId="102B0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74" w:type="dxa"/>
            <w:shd w:val="clear" w:color="auto" w:fill="auto"/>
            <w:vAlign w:val="center"/>
          </w:tcPr>
          <w:p w14:paraId="08633331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垃圾桶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0AF9F8A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个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C884893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  <w:u w:color="000000"/>
              </w:rPr>
              <w:t>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3550845">
            <w:pPr>
              <w:spacing w:after="180"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</w:rPr>
              <w:t>垃圾分类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color="000000"/>
                <w:lang w:val="zh-TW"/>
              </w:rPr>
              <w:t>公用区域放置</w:t>
            </w:r>
          </w:p>
        </w:tc>
      </w:tr>
    </w:tbl>
    <w:p w14:paraId="5D1A33F9">
      <w:pPr>
        <w:spacing w:after="0" w:line="380" w:lineRule="exact"/>
        <w:ind w:firstLine="477" w:firstLineChars="199"/>
        <w:rPr>
          <w:rFonts w:hint="eastAsia" w:ascii="宋体" w:hAnsi="宋体" w:eastAsia="宋体" w:cs="宋体"/>
          <w:color w:val="000000"/>
          <w:sz w:val="24"/>
          <w:szCs w:val="24"/>
          <w:u w:color="000000"/>
        </w:rPr>
      </w:pPr>
    </w:p>
    <w:p w14:paraId="5148C72D">
      <w:pPr>
        <w:spacing w:after="0" w:line="380" w:lineRule="exact"/>
        <w:ind w:firstLine="477" w:firstLineChars="199"/>
        <w:rPr>
          <w:rFonts w:hint="eastAsia" w:ascii="宋体" w:hAnsi="宋体" w:eastAsia="宋体" w:cs="宋体"/>
          <w:color w:val="000000"/>
          <w:sz w:val="24"/>
          <w:szCs w:val="24"/>
          <w:u w:color="000000"/>
        </w:rPr>
      </w:pPr>
    </w:p>
    <w:p w14:paraId="700DDC84">
      <w:pPr>
        <w:spacing w:after="0" w:line="380" w:lineRule="exact"/>
        <w:ind w:firstLine="477" w:firstLineChars="199"/>
        <w:rPr>
          <w:rFonts w:hint="eastAsia" w:ascii="宋体" w:hAnsi="宋体" w:eastAsia="宋体" w:cs="宋体"/>
          <w:color w:val="000000"/>
          <w:sz w:val="24"/>
          <w:szCs w:val="24"/>
          <w:u w:color="000000"/>
        </w:rPr>
      </w:pPr>
    </w:p>
    <w:p w14:paraId="5ED1A59E">
      <w:pPr>
        <w:spacing w:after="0" w:line="360" w:lineRule="auto"/>
        <w:ind w:firstLine="557" w:firstLineChars="199"/>
        <w:rPr>
          <w:rFonts w:hint="eastAsia" w:ascii="宋体" w:hAnsi="宋体" w:eastAsia="宋体" w:cs="宋体"/>
          <w:color w:val="000000"/>
          <w:sz w:val="28"/>
          <w:szCs w:val="28"/>
          <w:u w:color="000000"/>
        </w:rPr>
      </w:pPr>
    </w:p>
    <w:p w14:paraId="2BCB8D5E">
      <w:pPr>
        <w:spacing w:after="0" w:line="360" w:lineRule="auto"/>
        <w:ind w:firstLine="557" w:firstLineChars="199"/>
        <w:rPr>
          <w:rFonts w:hint="eastAsia" w:ascii="等线" w:hAnsi="等线" w:eastAsia="等线"/>
          <w:sz w:val="24"/>
          <w:szCs w:val="24"/>
          <w:lang w:eastAsia="zh-TW"/>
        </w:rPr>
      </w:pPr>
      <w:r>
        <w:rPr>
          <w:rFonts w:ascii="宋体" w:hAnsi="宋体" w:eastAsia="宋体" w:cs="宋体"/>
          <w:color w:val="000000"/>
          <w:sz w:val="28"/>
          <w:szCs w:val="28"/>
          <w:u w:color="000000"/>
        </w:rPr>
        <w:t>2.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  <w:t>选手</w:t>
      </w:r>
      <w:r>
        <w:rPr>
          <w:rFonts w:hint="eastAsia" w:ascii="宋体" w:hAnsi="宋体" w:eastAsia="宋体" w:cs="宋体"/>
          <w:color w:val="000000"/>
          <w:sz w:val="28"/>
          <w:szCs w:val="28"/>
          <w:u w:color="000000"/>
          <w:lang w:val="zh-TW"/>
        </w:rPr>
        <w:t>可根据制作</w:t>
      </w:r>
      <w:r>
        <w:rPr>
          <w:rFonts w:ascii="宋体" w:hAnsi="宋体" w:eastAsia="宋体" w:cs="宋体"/>
          <w:color w:val="000000"/>
          <w:sz w:val="28"/>
          <w:szCs w:val="28"/>
          <w:u w:color="000000"/>
          <w:lang w:val="zh-TW"/>
        </w:rPr>
        <w:t>需要自带其它自用设备和器具。</w:t>
      </w:r>
      <w:r>
        <w:rPr>
          <w:rFonts w:ascii="等线" w:hAnsi="等线" w:eastAsia="等线"/>
          <w:sz w:val="24"/>
          <w:szCs w:val="24"/>
          <w:lang w:eastAsia="zh-TW"/>
        </w:rPr>
        <w:br w:type="page"/>
      </w:r>
    </w:p>
    <w:p w14:paraId="3AFB295D">
      <w:pPr>
        <w:spacing w:after="0" w:line="380" w:lineRule="exact"/>
        <w:rPr>
          <w:rFonts w:hint="eastAsia"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附件2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  <w:t>：</w:t>
      </w:r>
      <w:r>
        <w:rPr>
          <w:rFonts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  <w:t>评分规则</w:t>
      </w:r>
    </w:p>
    <w:p w14:paraId="506EA2EF">
      <w:pPr>
        <w:spacing w:after="0" w:line="380" w:lineRule="exact"/>
        <w:ind w:firstLine="480"/>
        <w:rPr>
          <w:rFonts w:hint="eastAsia" w:eastAsia="PMingLiU" w:cs="宋体" w:asciiTheme="minorEastAsia" w:hAnsiTheme="minorEastAsia"/>
          <w:color w:val="000000"/>
          <w:sz w:val="24"/>
          <w:szCs w:val="24"/>
          <w:u w:color="000000"/>
          <w:lang w:val="zh-TW" w:eastAsia="zh-TW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  <w:t>本次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/>
        </w:rPr>
        <w:t>比赛根据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  <w:t>世界技能大赛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/>
        </w:rPr>
        <w:t>的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  <w:t>评分规则执行，本项目评分标准为测量和评价两类，包括所有可用客观数据表述的测量分和主观描述进行评判的评价。</w:t>
      </w:r>
    </w:p>
    <w:p w14:paraId="3F6D95F9">
      <w:pPr>
        <w:spacing w:after="0" w:line="380" w:lineRule="exact"/>
        <w:ind w:firstLine="480"/>
        <w:rPr>
          <w:rFonts w:hint="eastAsia" w:cs="宋体" w:asciiTheme="minorEastAsia" w:hAnsiTheme="minorEastAsia" w:eastAsiaTheme="minorEastAsia"/>
          <w:b/>
          <w:bCs/>
          <w:color w:val="000000"/>
          <w:sz w:val="24"/>
          <w:szCs w:val="24"/>
          <w:u w:color="000000"/>
          <w:lang w:val="zh-TW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  <w:szCs w:val="24"/>
          <w:u w:color="000000"/>
          <w:lang w:val="zh-TW"/>
        </w:rPr>
        <w:t>（一）主观评分要素：</w:t>
      </w:r>
    </w:p>
    <w:tbl>
      <w:tblPr>
        <w:tblStyle w:val="10"/>
        <w:tblW w:w="8226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6383"/>
      </w:tblGrid>
      <w:tr w14:paraId="4E8059B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09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6A1F418E">
            <w:pPr>
              <w:widowControl w:val="0"/>
              <w:spacing w:after="0" w:line="360" w:lineRule="exact"/>
              <w:jc w:val="both"/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</w:tcBorders>
            <w:vAlign w:val="center"/>
          </w:tcPr>
          <w:p w14:paraId="4C22C518">
            <w:pPr>
              <w:widowControl w:val="0"/>
              <w:spacing w:after="0" w:line="360" w:lineRule="exact"/>
              <w:jc w:val="center"/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  <w:t>配分</w:t>
            </w:r>
          </w:p>
        </w:tc>
        <w:tc>
          <w:tcPr>
            <w:tcW w:w="6383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6CF001C2">
            <w:pPr>
              <w:widowControl w:val="0"/>
              <w:spacing w:after="0" w:line="360" w:lineRule="exact"/>
              <w:ind w:firstLine="420" w:firstLineChars="200"/>
              <w:jc w:val="center"/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  <w:t>评分细则描述</w:t>
            </w:r>
          </w:p>
        </w:tc>
      </w:tr>
      <w:tr w14:paraId="71609F0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09" w:type="dxa"/>
            <w:vMerge w:val="continue"/>
            <w:tcBorders>
              <w:top w:val="single" w:color="auto" w:sz="12" w:space="0"/>
              <w:left w:val="nil"/>
            </w:tcBorders>
            <w:vAlign w:val="center"/>
          </w:tcPr>
          <w:p w14:paraId="2CFEFDED">
            <w:pPr>
              <w:spacing w:after="0" w:line="360" w:lineRule="auto"/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12" w:space="0"/>
            </w:tcBorders>
            <w:vAlign w:val="center"/>
          </w:tcPr>
          <w:p w14:paraId="4D604044">
            <w:pPr>
              <w:spacing w:after="0" w:line="360" w:lineRule="auto"/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6383" w:type="dxa"/>
            <w:vMerge w:val="continue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08E6260">
            <w:pPr>
              <w:spacing w:after="0" w:line="360" w:lineRule="auto"/>
              <w:rPr>
                <w:rFonts w:hint="eastAsia" w:ascii="黑体" w:hAnsi="宋体" w:eastAsia="黑体" w:cs="Calibri"/>
                <w:color w:val="000000"/>
                <w:kern w:val="2"/>
                <w:sz w:val="21"/>
                <w:szCs w:val="21"/>
              </w:rPr>
            </w:pPr>
          </w:p>
        </w:tc>
      </w:tr>
      <w:tr w14:paraId="08F844F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22C23C3F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01</w:t>
            </w:r>
          </w:p>
        </w:tc>
        <w:tc>
          <w:tcPr>
            <w:tcW w:w="1134" w:type="dxa"/>
            <w:vAlign w:val="center"/>
          </w:tcPr>
          <w:p w14:paraId="108DF469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30E62A7A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操作安全：操作过程安全规范，操作手法娴熟</w:t>
            </w:r>
          </w:p>
        </w:tc>
      </w:tr>
      <w:tr w14:paraId="0FAC99A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377B805E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02</w:t>
            </w:r>
          </w:p>
        </w:tc>
        <w:tc>
          <w:tcPr>
            <w:tcW w:w="1134" w:type="dxa"/>
            <w:vAlign w:val="center"/>
          </w:tcPr>
          <w:p w14:paraId="17F8638D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2F0FE40D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卫生环保：操作结束周围场地清洁，并根据环保要求做好垃圾分类</w:t>
            </w:r>
          </w:p>
        </w:tc>
      </w:tr>
      <w:tr w14:paraId="5912CE2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6B9011E1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110AE000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69400BD5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基础加工技术：熟悉材料特性，刀工技术娴熟，操作安标准规范，充分发挥食材特点</w:t>
            </w:r>
          </w:p>
        </w:tc>
      </w:tr>
      <w:tr w14:paraId="3A28EC7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417CB8D1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68CAF84C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10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4DA47BA9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烹调方法：运用智慧烹调方法，充分提升菜肴口感、质感、美感</w:t>
            </w:r>
          </w:p>
        </w:tc>
      </w:tr>
      <w:tr w14:paraId="7022CEC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4F057F68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20F58642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10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062C64C7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  <w:t>烹调技艺：根据原料特点，恰当运用各类智慧烹调方法</w:t>
            </w:r>
          </w:p>
        </w:tc>
      </w:tr>
      <w:tr w14:paraId="6571312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02629F41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1C842BB3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158D3684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菜肴呈现：装盘美观，整盘菜肴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和谐，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有视觉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冲击感</w:t>
            </w:r>
          </w:p>
        </w:tc>
      </w:tr>
      <w:tr w14:paraId="5CD003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427899A3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27AAD995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6069FB06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（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质感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：原料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充分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呈现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出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应有的特性</w:t>
            </w:r>
          </w:p>
        </w:tc>
      </w:tr>
      <w:tr w14:paraId="7BE7208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3322212F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3F5FD4F3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5A79560D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（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味道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突出主料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的原有口味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，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辅料能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恰当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衬托出主料的口味</w:t>
            </w:r>
          </w:p>
        </w:tc>
      </w:tr>
      <w:tr w14:paraId="5B93A72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6CD74217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14:paraId="190F59FA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7CFB9BC4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Calibri"/>
                <w:color w:val="000000"/>
                <w:kern w:val="2"/>
                <w:sz w:val="2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菜肴口味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（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香味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）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：保持符合主料的原有香味，兼有沙司香味</w:t>
            </w:r>
          </w:p>
        </w:tc>
      </w:tr>
      <w:tr w14:paraId="13B88F3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4A7FCA26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1</w:t>
            </w: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37AE4E1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Calibri"/>
                <w:color w:val="000000"/>
                <w:kern w:val="2"/>
                <w:sz w:val="21"/>
                <w:szCs w:val="21"/>
              </w:rPr>
              <w:t>5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3CAB53BF">
            <w:pPr>
              <w:widowControl w:val="0"/>
              <w:spacing w:after="0" w:line="360" w:lineRule="exact"/>
              <w:ind w:firstLine="400" w:firstLineChars="200"/>
              <w:jc w:val="both"/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</w:pP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</w:rPr>
              <w:t>菜品描述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：设计思路、菜品介绍（特点、烹调方法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/>
              </w:rPr>
              <w:t>、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</w:rPr>
              <w:t>时令菜运用</w:t>
            </w:r>
            <w:r>
              <w:rPr>
                <w:rFonts w:hint="eastAsia" w:ascii="黑体" w:hAnsi="黑体" w:eastAsia="黑体" w:cs="宋体"/>
                <w:color w:val="000000"/>
                <w:kern w:val="2"/>
                <w:sz w:val="20"/>
                <w:szCs w:val="24"/>
                <w:u w:color="000000"/>
                <w:lang w:val="zh-TW" w:eastAsia="zh-TW"/>
              </w:rPr>
              <w:t>等）</w:t>
            </w:r>
          </w:p>
        </w:tc>
      </w:tr>
      <w:tr w14:paraId="36277B4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709" w:type="dxa"/>
            <w:tcBorders>
              <w:left w:val="nil"/>
            </w:tcBorders>
            <w:vAlign w:val="center"/>
          </w:tcPr>
          <w:p w14:paraId="2A5B201A">
            <w:pPr>
              <w:widowControl w:val="0"/>
              <w:spacing w:after="0" w:line="360" w:lineRule="exact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合计配分</w:t>
            </w:r>
          </w:p>
        </w:tc>
        <w:tc>
          <w:tcPr>
            <w:tcW w:w="1134" w:type="dxa"/>
            <w:vAlign w:val="center"/>
          </w:tcPr>
          <w:p w14:paraId="04EB473C">
            <w:pPr>
              <w:widowControl w:val="0"/>
              <w:spacing w:after="0" w:line="360" w:lineRule="exact"/>
              <w:ind w:firstLine="199" w:firstLineChars="95"/>
              <w:jc w:val="both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</w:rPr>
              <w:t>60</w:t>
            </w:r>
          </w:p>
        </w:tc>
        <w:tc>
          <w:tcPr>
            <w:tcW w:w="6383" w:type="dxa"/>
            <w:tcBorders>
              <w:right w:val="single" w:color="auto" w:sz="4" w:space="0"/>
            </w:tcBorders>
            <w:vAlign w:val="center"/>
          </w:tcPr>
          <w:p w14:paraId="51188EB4">
            <w:pPr>
              <w:widowControl w:val="0"/>
              <w:spacing w:after="0" w:line="360" w:lineRule="exact"/>
              <w:ind w:firstLine="420" w:firstLineChars="200"/>
              <w:jc w:val="center"/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kern w:val="2"/>
                <w:sz w:val="21"/>
                <w:szCs w:val="21"/>
              </w:rPr>
              <w:t>合计得分</w:t>
            </w:r>
          </w:p>
        </w:tc>
      </w:tr>
    </w:tbl>
    <w:p w14:paraId="23B18EF1">
      <w:pPr>
        <w:spacing w:after="0" w:line="380" w:lineRule="exact"/>
        <w:ind w:firstLine="480"/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</w:pPr>
    </w:p>
    <w:p w14:paraId="6DC56AD8">
      <w:pPr>
        <w:spacing w:after="0" w:line="360" w:lineRule="exact"/>
        <w:ind w:firstLine="480"/>
        <w:rPr>
          <w:rFonts w:hint="eastAsia" w:eastAsia="PMingLiU" w:cs="宋体" w:asciiTheme="minorEastAsia" w:hAnsiTheme="minorEastAsia"/>
          <w:color w:val="000000"/>
          <w:sz w:val="24"/>
          <w:szCs w:val="24"/>
          <w:u w:color="000000"/>
          <w:lang w:val="zh-TW" w:eastAsia="zh-TW"/>
        </w:rPr>
      </w:pPr>
    </w:p>
    <w:p w14:paraId="49A0E29E">
      <w:pPr>
        <w:spacing w:after="0" w:line="360" w:lineRule="exact"/>
        <w:ind w:firstLine="480"/>
        <w:rPr>
          <w:rFonts w:hint="eastAsia" w:ascii="宋体" w:hAnsi="宋体" w:cs="宋体" w:eastAsiaTheme="minorEastAsia"/>
          <w:b/>
          <w:bCs/>
          <w:color w:val="000000"/>
          <w:sz w:val="24"/>
          <w:szCs w:val="24"/>
          <w:u w:color="000000"/>
          <w:lang w:val="zh-TW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  <w:szCs w:val="24"/>
          <w:u w:color="000000"/>
          <w:lang w:val="zh-TW"/>
        </w:rPr>
        <w:t>（二）客观评分要素：</w:t>
      </w:r>
    </w:p>
    <w:p w14:paraId="3C22B4DF">
      <w:pPr>
        <w:spacing w:after="0" w:line="360" w:lineRule="exact"/>
        <w:rPr>
          <w:rFonts w:hint="eastAsia" w:cs="宋体" w:asciiTheme="minorEastAsia" w:hAnsiTheme="minorEastAsia" w:eastAsiaTheme="minorEastAsia"/>
          <w:color w:val="000000"/>
          <w:sz w:val="24"/>
          <w:szCs w:val="24"/>
          <w:u w:color="000000"/>
          <w:lang w:val="zh-TW" w:eastAsia="zh-TW"/>
        </w:rPr>
      </w:pPr>
    </w:p>
    <w:tbl>
      <w:tblPr>
        <w:tblStyle w:val="10"/>
        <w:tblW w:w="8522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3879"/>
        <w:gridCol w:w="1508"/>
        <w:gridCol w:w="1326"/>
      </w:tblGrid>
      <w:tr w14:paraId="62B0D3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top w:val="single" w:color="auto" w:sz="12" w:space="0"/>
              <w:left w:val="nil"/>
            </w:tcBorders>
            <w:vAlign w:val="center"/>
          </w:tcPr>
          <w:p w14:paraId="1A8190F4">
            <w:pPr>
              <w:spacing w:line="360" w:lineRule="auto"/>
              <w:jc w:val="center"/>
              <w:rPr>
                <w:rFonts w:hint="eastAsia"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 w14:paraId="77A28E1E">
            <w:pPr>
              <w:spacing w:line="360" w:lineRule="auto"/>
              <w:jc w:val="center"/>
              <w:rPr>
                <w:rFonts w:hint="eastAsia"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配分</w:t>
            </w:r>
          </w:p>
        </w:tc>
        <w:tc>
          <w:tcPr>
            <w:tcW w:w="3879" w:type="dxa"/>
            <w:tcBorders>
              <w:top w:val="single" w:color="auto" w:sz="12" w:space="0"/>
            </w:tcBorders>
            <w:vAlign w:val="center"/>
          </w:tcPr>
          <w:p w14:paraId="32331EEB">
            <w:pPr>
              <w:spacing w:line="360" w:lineRule="auto"/>
              <w:jc w:val="center"/>
              <w:rPr>
                <w:rFonts w:hint="eastAsia"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评分细则描述</w:t>
            </w:r>
          </w:p>
        </w:tc>
        <w:tc>
          <w:tcPr>
            <w:tcW w:w="1508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6E35E753">
            <w:pPr>
              <w:spacing w:line="360" w:lineRule="auto"/>
              <w:jc w:val="center"/>
              <w:rPr>
                <w:rFonts w:hint="eastAsia"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规定或标称值</w:t>
            </w:r>
          </w:p>
        </w:tc>
        <w:tc>
          <w:tcPr>
            <w:tcW w:w="1326" w:type="dxa"/>
            <w:tcBorders>
              <w:top w:val="single" w:color="auto" w:sz="12" w:space="0"/>
              <w:left w:val="single" w:color="auto" w:sz="4" w:space="0"/>
              <w:right w:val="nil"/>
            </w:tcBorders>
            <w:vAlign w:val="center"/>
          </w:tcPr>
          <w:p w14:paraId="24F83FB5">
            <w:pPr>
              <w:spacing w:line="360" w:lineRule="auto"/>
              <w:jc w:val="center"/>
              <w:rPr>
                <w:rFonts w:hint="eastAsia" w:ascii="黑体" w:hAnsi="宋体" w:eastAsia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 w:val="21"/>
                <w:szCs w:val="21"/>
              </w:rPr>
              <w:t>得分</w:t>
            </w:r>
          </w:p>
        </w:tc>
      </w:tr>
      <w:tr w14:paraId="0B92008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34B29469">
            <w:pPr>
              <w:spacing w:line="360" w:lineRule="exac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O1</w:t>
            </w:r>
          </w:p>
        </w:tc>
        <w:tc>
          <w:tcPr>
            <w:tcW w:w="992" w:type="dxa"/>
            <w:vAlign w:val="center"/>
          </w:tcPr>
          <w:p w14:paraId="41F45557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557AB23C">
            <w:pPr>
              <w:spacing w:line="360" w:lineRule="exact"/>
              <w:ind w:firstLine="4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自竞赛开始后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>90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分钟内出菜，如超时，每超过1分钟扣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分，扣完为止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5F149A8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347870F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71C3291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7B2C1F19">
            <w:pPr>
              <w:spacing w:line="36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O2</w:t>
            </w:r>
          </w:p>
        </w:tc>
        <w:tc>
          <w:tcPr>
            <w:tcW w:w="992" w:type="dxa"/>
            <w:vAlign w:val="center"/>
          </w:tcPr>
          <w:p w14:paraId="66B20847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56F471EB">
            <w:pPr>
              <w:spacing w:line="360" w:lineRule="exact"/>
              <w:ind w:firstLine="4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明虾西餐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  <w:lang w:val="en-US" w:eastAsia="zh-CN"/>
              </w:rPr>
              <w:t>应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包含主料、蔬菜、淀粉类、沙司，其中主料可食用部分在110g-120g之间，每一种不达标扣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分，扣完为止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7AC3345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2DBAC92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5D28C2C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670C4E57">
            <w:pPr>
              <w:spacing w:line="360" w:lineRule="exac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14:paraId="5E264A87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7E05FE99">
            <w:pPr>
              <w:spacing w:line="360" w:lineRule="exact"/>
              <w:ind w:firstLine="4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鸡肉中餐以位上呈现，包含一种现场制作的可食用装饰，每份菜品可食用部分总量为120-160g，不达标及误差10g扣1分，扣完为止。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47052074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2ABAD92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3E2551B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2FB8B976">
            <w:pPr>
              <w:spacing w:line="360" w:lineRule="exact"/>
              <w:rPr>
                <w:rFonts w:hint="eastAsia" w:ascii="宋体" w:hAnsi="宋体" w:eastAsia="微软雅黑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6677701D">
            <w:pPr>
              <w:spacing w:line="360" w:lineRule="exact"/>
              <w:ind w:firstLine="199" w:firstLineChars="95"/>
              <w:rPr>
                <w:rFonts w:hint="eastAsia" w:ascii="宋体" w:hAnsi="宋体" w:eastAsia="微软雅黑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879" w:type="dxa"/>
            <w:vAlign w:val="center"/>
          </w:tcPr>
          <w:p w14:paraId="2B6A2EA7">
            <w:pPr>
              <w:spacing w:line="360" w:lineRule="exact"/>
              <w:ind w:firstLine="400"/>
              <w:rPr>
                <w:rFonts w:hint="default" w:ascii="黑体" w:hAnsi="黑体" w:eastAsia="黑体"/>
                <w:color w:val="000000"/>
                <w:sz w:val="2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  <w:lang w:val="en-US" w:eastAsia="zh-CN"/>
              </w:rPr>
              <w:t>纸杯蛋糕应包含2种以上西点类可食用装饰（巧克力、裱花、淋面、水果、糖艺等），每份纸杯蛋糕出品可食用部分总重量为90-110g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，不达标及误差10g扣1分，扣完为止。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22B7015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1D3D86F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17EBA35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7FC4DC19">
            <w:pPr>
              <w:spacing w:line="360" w:lineRule="exact"/>
              <w:rPr>
                <w:rFonts w:hint="eastAsia" w:ascii="宋体" w:hAnsi="宋体" w:eastAsia="微软雅黑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3E3CB7CC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3A63EBBF">
            <w:pPr>
              <w:spacing w:line="360" w:lineRule="exact"/>
              <w:ind w:firstLine="4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形态：菜品和点心符合菜肴装盘的美学，造型美观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  <w:lang w:eastAsia="zh-CN"/>
              </w:rPr>
              <w:t>，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装盘具有立体感，蔬菜搭配合理、美观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2657C1AD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0FADC1A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36AA7FC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45E577B3">
            <w:pPr>
              <w:spacing w:line="360" w:lineRule="exact"/>
              <w:rPr>
                <w:rFonts w:hint="eastAsia" w:ascii="宋体" w:hAnsi="宋体" w:eastAsia="微软雅黑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0F2DF1FC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70A90FDC">
            <w:pPr>
              <w:spacing w:line="360" w:lineRule="exact"/>
              <w:ind w:firstLine="4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质感：凸显主料应有的质感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20D2576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40707E4F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33730EB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45F3EDE6">
            <w:pPr>
              <w:spacing w:line="360" w:lineRule="exact"/>
              <w:rPr>
                <w:rFonts w:hint="eastAsia" w:ascii="宋体" w:hAnsi="宋体" w:eastAsia="微软雅黑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 w14:paraId="39FA61C7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5585E53C">
            <w:pPr>
              <w:spacing w:line="360" w:lineRule="exact"/>
              <w:ind w:firstLine="200" w:firstLineChars="1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 xml:space="preserve"> </w:t>
            </w:r>
            <w:r>
              <w:rPr>
                <w:rFonts w:ascii="黑体" w:hAnsi="黑体" w:eastAsia="黑体"/>
                <w:color w:val="000000"/>
                <w:sz w:val="20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盘子干净，没有脏污和手指印记，每有1处扣1分，扣完为止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CB815C0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0D27304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1A3DD1A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</w:tcBorders>
            <w:vAlign w:val="center"/>
          </w:tcPr>
          <w:p w14:paraId="60089244">
            <w:pPr>
              <w:spacing w:line="360" w:lineRule="exact"/>
              <w:rPr>
                <w:rFonts w:hint="eastAsia" w:ascii="宋体" w:hAnsi="宋体" w:eastAsia="微软雅黑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 w14:paraId="43E02A59">
            <w:pPr>
              <w:spacing w:line="360" w:lineRule="exact"/>
              <w:ind w:firstLine="199" w:firstLineChars="95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879" w:type="dxa"/>
            <w:vAlign w:val="center"/>
          </w:tcPr>
          <w:p w14:paraId="09C5648A">
            <w:pPr>
              <w:spacing w:line="360" w:lineRule="exact"/>
              <w:ind w:firstLine="400"/>
              <w:rPr>
                <w:rFonts w:hint="eastAsia" w:ascii="黑体" w:hAnsi="黑体" w:eastAsia="黑体"/>
                <w:color w:val="000000"/>
                <w:sz w:val="2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1"/>
              </w:rPr>
              <w:t>每份菜点必须包含至少一种时令食材，并在菜品描述表中写明</w:t>
            </w: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74AEAB3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326" w:type="dxa"/>
            <w:tcBorders>
              <w:left w:val="single" w:color="auto" w:sz="4" w:space="0"/>
              <w:right w:val="nil"/>
            </w:tcBorders>
            <w:vAlign w:val="center"/>
          </w:tcPr>
          <w:p w14:paraId="6BEA655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  <w:tr w14:paraId="266F2CF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7" w:type="dxa"/>
            <w:tcBorders>
              <w:left w:val="nil"/>
              <w:bottom w:val="single" w:color="auto" w:sz="12" w:space="0"/>
            </w:tcBorders>
            <w:vAlign w:val="center"/>
          </w:tcPr>
          <w:p w14:paraId="6FC208D7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合计配分</w:t>
            </w:r>
          </w:p>
        </w:tc>
        <w:tc>
          <w:tcPr>
            <w:tcW w:w="992" w:type="dxa"/>
            <w:tcBorders>
              <w:bottom w:val="single" w:color="auto" w:sz="12" w:space="0"/>
            </w:tcBorders>
            <w:vAlign w:val="center"/>
          </w:tcPr>
          <w:p w14:paraId="01DA1AB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5387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273EB213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合计得分</w:t>
            </w:r>
          </w:p>
        </w:tc>
        <w:tc>
          <w:tcPr>
            <w:tcW w:w="1326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2B42381B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</w:tc>
      </w:tr>
    </w:tbl>
    <w:p w14:paraId="7B157F60">
      <w:pPr>
        <w:pStyle w:val="13"/>
        <w:spacing w:after="0" w:line="276" w:lineRule="auto"/>
        <w:ind w:left="720" w:firstLine="0" w:firstLineChars="0"/>
        <w:rPr>
          <w:rFonts w:hint="eastAsia" w:ascii="宋体" w:hAnsi="宋体" w:eastAsia="宋体"/>
          <w:b/>
          <w:sz w:val="28"/>
          <w:szCs w:val="28"/>
          <w:lang w:eastAsia="zh-TW"/>
        </w:rPr>
      </w:pPr>
    </w:p>
    <w:p w14:paraId="51334497">
      <w:pPr>
        <w:pStyle w:val="13"/>
        <w:spacing w:after="0" w:line="276" w:lineRule="auto"/>
        <w:ind w:firstLine="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6DB42A0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1497D1F0">
      <w:pPr>
        <w:pStyle w:val="13"/>
        <w:spacing w:after="0" w:line="276" w:lineRule="auto"/>
        <w:ind w:firstLine="0" w:firstLineChars="0"/>
        <w:jc w:val="both"/>
        <w:rPr>
          <w:rFonts w:hint="eastAsia" w:ascii="宋体" w:hAnsi="宋体" w:eastAsia="宋体"/>
          <w:b/>
          <w:sz w:val="28"/>
          <w:szCs w:val="28"/>
          <w:lang w:eastAsia="zh-TW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附件3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color="000000"/>
          <w:lang w:val="zh-TW" w:eastAsia="zh-TW"/>
        </w:rPr>
        <w:t>：</w:t>
      </w:r>
    </w:p>
    <w:p w14:paraId="1F5DA78D">
      <w:pPr>
        <w:pStyle w:val="9"/>
      </w:pPr>
      <w:r>
        <w:rPr>
          <w:sz w:val="36"/>
          <w:szCs w:val="21"/>
        </w:rPr>
        <w:t xml:space="preserve">第十二届“中华杯”现代智慧厨房创新菜烹饪竞赛 </w:t>
      </w:r>
      <w:r>
        <w:br w:type="textWrapping"/>
      </w:r>
      <w:r>
        <w:t>菜 品 描 述</w:t>
      </w:r>
    </w:p>
    <w:p w14:paraId="66F18B03">
      <w:pPr>
        <w:pStyle w:val="2"/>
        <w:ind w:firstLine="482"/>
        <w:rPr>
          <w:b/>
        </w:rPr>
      </w:pPr>
      <w:r>
        <w:rPr>
          <w:b/>
        </w:rPr>
        <w:t>选手编号：</w:t>
      </w:r>
    </w:p>
    <w:tbl>
      <w:tblPr>
        <w:tblStyle w:val="11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3722"/>
        <w:gridCol w:w="2700"/>
      </w:tblGrid>
      <w:tr w14:paraId="066648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231" w:type="pct"/>
            <w:shd w:val="clear" w:color="auto" w:fill="C6D9F0" w:themeFill="text2" w:themeFillTint="33"/>
            <w:vAlign w:val="center"/>
          </w:tcPr>
          <w:p w14:paraId="5B6ED42B">
            <w:pPr>
              <w:jc w:val="center"/>
              <w:rPr>
                <w:rFonts w:hint="eastAsia"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菜品名称</w:t>
            </w:r>
          </w:p>
        </w:tc>
        <w:tc>
          <w:tcPr>
            <w:tcW w:w="2184" w:type="pct"/>
          </w:tcPr>
          <w:p w14:paraId="45CE6CE8"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  <w:tc>
          <w:tcPr>
            <w:tcW w:w="1583" w:type="pct"/>
          </w:tcPr>
          <w:p w14:paraId="1B34E0B7">
            <w:pPr>
              <w:widowControl w:val="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西餐主菜（明虾）</w:t>
            </w:r>
          </w:p>
          <w:p w14:paraId="569D9D8D">
            <w:pPr>
              <w:widowControl w:val="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/>
                <w:sz w:val="21"/>
                <w:szCs w:val="21"/>
              </w:rPr>
              <w:t>中餐主菜（鸡肉）</w:t>
            </w:r>
          </w:p>
          <w:p w14:paraId="77B21897">
            <w:pPr>
              <w:widowControl w:val="0"/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纸杯蛋糕</w:t>
            </w:r>
          </w:p>
        </w:tc>
      </w:tr>
      <w:tr w14:paraId="1A7292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</w:trPr>
        <w:tc>
          <w:tcPr>
            <w:tcW w:w="1231" w:type="pct"/>
            <w:shd w:val="clear" w:color="auto" w:fill="C6D9F0" w:themeFill="text2" w:themeFillTint="33"/>
            <w:vAlign w:val="center"/>
          </w:tcPr>
          <w:p w14:paraId="1CE6E37B">
            <w:pPr>
              <w:jc w:val="center"/>
              <w:rPr>
                <w:rFonts w:hint="eastAsia"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原料名称</w:t>
            </w:r>
          </w:p>
        </w:tc>
        <w:tc>
          <w:tcPr>
            <w:tcW w:w="3768" w:type="pct"/>
            <w:gridSpan w:val="2"/>
          </w:tcPr>
          <w:p w14:paraId="60B1A778"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</w:tr>
      <w:tr w14:paraId="099287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1231" w:type="pct"/>
            <w:shd w:val="clear" w:color="auto" w:fill="C6D9F0" w:themeFill="text2" w:themeFillTint="33"/>
            <w:vAlign w:val="center"/>
          </w:tcPr>
          <w:p w14:paraId="3879142F">
            <w:pPr>
              <w:jc w:val="center"/>
              <w:rPr>
                <w:rFonts w:hint="eastAsia"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烹饪过程</w:t>
            </w:r>
          </w:p>
        </w:tc>
        <w:tc>
          <w:tcPr>
            <w:tcW w:w="3768" w:type="pct"/>
            <w:gridSpan w:val="2"/>
          </w:tcPr>
          <w:p w14:paraId="18081822"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</w:tr>
      <w:tr w14:paraId="3CF769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1231" w:type="pct"/>
            <w:shd w:val="clear" w:color="auto" w:fill="C6D9F0" w:themeFill="text2" w:themeFillTint="33"/>
            <w:vAlign w:val="center"/>
          </w:tcPr>
          <w:p w14:paraId="556AC717">
            <w:pPr>
              <w:jc w:val="center"/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菜品特点</w:t>
            </w: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（包括但不限于创意、时令菜应用、造型等）</w:t>
            </w:r>
          </w:p>
        </w:tc>
        <w:tc>
          <w:tcPr>
            <w:tcW w:w="3768" w:type="pct"/>
            <w:gridSpan w:val="2"/>
          </w:tcPr>
          <w:p w14:paraId="7C64AABF">
            <w:pPr>
              <w:rPr>
                <w:rFonts w:hint="eastAsia" w:asciiTheme="minorEastAsia" w:hAnsiTheme="minorEastAsia"/>
                <w:sz w:val="21"/>
                <w:szCs w:val="21"/>
              </w:rPr>
            </w:pPr>
          </w:p>
        </w:tc>
      </w:tr>
    </w:tbl>
    <w:p w14:paraId="7A8722AB"/>
    <w:p w14:paraId="2D49E45F">
      <w:pPr>
        <w:pStyle w:val="13"/>
        <w:spacing w:after="0" w:line="276" w:lineRule="auto"/>
        <w:ind w:left="720" w:firstLine="0" w:firstLineChars="0"/>
        <w:rPr>
          <w:rFonts w:hint="eastAsia" w:ascii="宋体" w:hAnsi="宋体" w:eastAsia="宋体"/>
          <w:b/>
          <w:sz w:val="28"/>
          <w:szCs w:val="28"/>
          <w:lang w:eastAsia="zh-TW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7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B2E5E"/>
    <w:rsid w:val="000F1F03"/>
    <w:rsid w:val="0011695A"/>
    <w:rsid w:val="001326DF"/>
    <w:rsid w:val="00146CD4"/>
    <w:rsid w:val="001541D1"/>
    <w:rsid w:val="0016142C"/>
    <w:rsid w:val="00174636"/>
    <w:rsid w:val="001B6016"/>
    <w:rsid w:val="001F03C1"/>
    <w:rsid w:val="00232686"/>
    <w:rsid w:val="002632F9"/>
    <w:rsid w:val="00284236"/>
    <w:rsid w:val="002B0997"/>
    <w:rsid w:val="002D27D2"/>
    <w:rsid w:val="002D33D1"/>
    <w:rsid w:val="002E1121"/>
    <w:rsid w:val="002E29CF"/>
    <w:rsid w:val="003105B6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C24E2"/>
    <w:rsid w:val="003D37D8"/>
    <w:rsid w:val="00402ED2"/>
    <w:rsid w:val="00426133"/>
    <w:rsid w:val="004310B4"/>
    <w:rsid w:val="00432041"/>
    <w:rsid w:val="004358AB"/>
    <w:rsid w:val="004400AD"/>
    <w:rsid w:val="0044340C"/>
    <w:rsid w:val="004533C4"/>
    <w:rsid w:val="0048664C"/>
    <w:rsid w:val="004A519E"/>
    <w:rsid w:val="004B2EE8"/>
    <w:rsid w:val="004C3294"/>
    <w:rsid w:val="004E1E40"/>
    <w:rsid w:val="004E3D33"/>
    <w:rsid w:val="0050493F"/>
    <w:rsid w:val="00553779"/>
    <w:rsid w:val="005911EC"/>
    <w:rsid w:val="005B4968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50E04"/>
    <w:rsid w:val="008654AC"/>
    <w:rsid w:val="0089397C"/>
    <w:rsid w:val="008B7726"/>
    <w:rsid w:val="008F2AE5"/>
    <w:rsid w:val="00993197"/>
    <w:rsid w:val="009A3B90"/>
    <w:rsid w:val="009A7222"/>
    <w:rsid w:val="009C227D"/>
    <w:rsid w:val="009D18B6"/>
    <w:rsid w:val="009D1A84"/>
    <w:rsid w:val="009F29E2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0F66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A77DB"/>
    <w:rsid w:val="00ED5824"/>
    <w:rsid w:val="00EF49F3"/>
    <w:rsid w:val="00F02243"/>
    <w:rsid w:val="00F054DE"/>
    <w:rsid w:val="00F05552"/>
    <w:rsid w:val="00F13747"/>
    <w:rsid w:val="00F72C8E"/>
    <w:rsid w:val="00F85F9E"/>
    <w:rsid w:val="00FD2545"/>
    <w:rsid w:val="0FAA0A38"/>
    <w:rsid w:val="21556D6A"/>
    <w:rsid w:val="401C01B8"/>
    <w:rsid w:val="435E06A0"/>
    <w:rsid w:val="438837D9"/>
    <w:rsid w:val="448A0F8B"/>
    <w:rsid w:val="51AB7820"/>
    <w:rsid w:val="5ED0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unhideWhenUsed/>
    <w:qFormat/>
    <w:uiPriority w:val="99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link w:val="15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5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9">
    <w:name w:val="Title"/>
    <w:qFormat/>
    <w:uiPriority w:val="10"/>
    <w:pPr>
      <w:widowControl w:val="0"/>
      <w:adjustRightInd w:val="0"/>
      <w:spacing w:before="100" w:after="100"/>
      <w:jc w:val="center"/>
    </w:pPr>
    <w:rPr>
      <w:rFonts w:ascii="Times New Roman" w:hAnsi="Times New Roman" w:eastAsia="黑体" w:cs="Times New Roman"/>
      <w:b/>
      <w:kern w:val="2"/>
      <w:sz w:val="44"/>
      <w:szCs w:val="24"/>
      <w:lang w:val="en-US" w:eastAsia="zh-CN" w:bidi="ar-SA"/>
    </w:rPr>
  </w:style>
  <w:style w:type="table" w:styleId="11">
    <w:name w:val="Table Grid"/>
    <w:basedOn w:val="10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字符"/>
    <w:link w:val="4"/>
    <w:semiHidden/>
    <w:qFormat/>
    <w:uiPriority w:val="99"/>
    <w:rPr>
      <w:rFonts w:ascii="Tahoma" w:hAnsi="Tahoma"/>
    </w:rPr>
  </w:style>
  <w:style w:type="character" w:customStyle="1" w:styleId="15">
    <w:name w:val="正文文本缩进 字符"/>
    <w:link w:val="3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6">
    <w:name w:val="批注框文本 字符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页眉 字符"/>
    <w:link w:val="7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link w:val="6"/>
    <w:qFormat/>
    <w:uiPriority w:val="99"/>
    <w:rPr>
      <w:rFonts w:ascii="Tahoma" w:hAnsi="Tahoma"/>
      <w:sz w:val="18"/>
      <w:szCs w:val="18"/>
    </w:rPr>
  </w:style>
  <w:style w:type="paragraph" w:customStyle="1" w:styleId="19">
    <w:name w:val="正文 A"/>
    <w:qFormat/>
    <w:uiPriority w:val="0"/>
    <w:pPr>
      <w:spacing w:after="200"/>
    </w:pPr>
    <w:rPr>
      <w:rFonts w:hint="eastAsia" w:ascii="Arial Unicode MS" w:hAnsi="Arial Unicode MS" w:eastAsia="Tahoma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2776</Words>
  <Characters>2920</Characters>
  <Lines>22</Lines>
  <Paragraphs>6</Paragraphs>
  <TotalTime>10</TotalTime>
  <ScaleCrop>false</ScaleCrop>
  <LinksUpToDate>false</LinksUpToDate>
  <CharactersWithSpaces>2938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2023-09-01T05:23:00Z</dcterms:created>
  <dc:creator>DELL</dc:creator>
  <cp:lastModifiedBy>朱松杰</cp:lastModifiedBy>
  <cp:lastPrinted>2017-08-08T06:02:00Z</cp:lastPrinted>
  <dcterms:modified xsi:type="dcterms:W3CDTF">2024-08-19T02:14:37Z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4ABDF92BF2F0448EA44D661C22D26647_13</vt:lpwstr>
  </property>
</Properties>
</file>