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0D163">
      <w:pPr>
        <w:keepNext w:val="0"/>
        <w:keepLines w:val="0"/>
        <w:pageBreakBefore w:val="0"/>
        <w:widowControl/>
        <w:kinsoku/>
        <w:wordWrap/>
        <w:overflowPunct/>
        <w:topLinePunct w:val="0"/>
        <w:autoSpaceDE/>
        <w:autoSpaceDN/>
        <w:bidi w:val="0"/>
        <w:adjustRightInd w:val="0"/>
        <w:snapToGrid w:val="0"/>
        <w:spacing w:line="440" w:lineRule="exact"/>
        <w:ind w:firstLine="0" w:firstLineChars="0"/>
        <w:jc w:val="center"/>
        <w:textAlignment w:val="auto"/>
        <w:rPr>
          <w:rFonts w:hint="eastAsia" w:ascii="宋体" w:hAnsi="宋体" w:eastAsia="宋体" w:cs="宋体"/>
          <w:sz w:val="28"/>
          <w:szCs w:val="28"/>
        </w:rPr>
      </w:pPr>
      <w:bookmarkStart w:id="0" w:name="_Hlk138677499"/>
      <w:r>
        <w:rPr>
          <w:rFonts w:hint="eastAsia" w:ascii="宋体" w:hAnsi="宋体" w:eastAsia="宋体" w:cs="宋体"/>
          <w:b/>
          <w:kern w:val="0"/>
          <w:sz w:val="28"/>
          <w:szCs w:val="28"/>
        </w:rPr>
        <w:t>第十二届“中华杯”智能网联汽车竞赛</w:t>
      </w:r>
      <w:bookmarkEnd w:id="0"/>
      <w:r>
        <w:rPr>
          <w:rFonts w:hint="eastAsia" w:ascii="宋体" w:hAnsi="宋体" w:eastAsia="宋体" w:cs="宋体"/>
          <w:b/>
          <w:kern w:val="0"/>
          <w:sz w:val="28"/>
          <w:szCs w:val="28"/>
          <w:lang w:eastAsia="zh-CN"/>
        </w:rPr>
        <w:t>方案</w:t>
      </w:r>
    </w:p>
    <w:p w14:paraId="6390F907">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一、</w:t>
      </w:r>
      <w:r>
        <w:rPr>
          <w:rFonts w:hint="eastAsia" w:ascii="宋体" w:hAnsi="宋体" w:eastAsia="宋体" w:cs="宋体"/>
          <w:b/>
          <w:sz w:val="28"/>
          <w:szCs w:val="28"/>
        </w:rPr>
        <w:t>竞赛目的</w:t>
      </w:r>
    </w:p>
    <w:p w14:paraId="34DDD5E1">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color w:val="FF0000"/>
          <w:sz w:val="28"/>
          <w:szCs w:val="28"/>
        </w:rPr>
      </w:pPr>
      <w:r>
        <w:rPr>
          <w:rFonts w:hint="eastAsia" w:ascii="宋体" w:hAnsi="宋体" w:eastAsia="宋体" w:cs="宋体"/>
          <w:sz w:val="28"/>
          <w:szCs w:val="28"/>
        </w:rPr>
        <w:t>秉承中华职业教育社优良传统，大力弘扬工匠精神，坚持“面向社会、面向青年、面向技能”的竞赛宗旨，为具有智能网联技术的技能型</w:t>
      </w:r>
      <w:r>
        <w:rPr>
          <w:rFonts w:hint="eastAsia" w:ascii="宋体" w:hAnsi="宋体" w:eastAsia="宋体" w:cs="宋体"/>
          <w:sz w:val="28"/>
          <w:szCs w:val="28"/>
        </w:rPr>
        <w:t>人才</w:t>
      </w:r>
      <w:r>
        <w:rPr>
          <w:rFonts w:hint="eastAsia" w:ascii="宋体" w:hAnsi="宋体" w:eastAsia="宋体" w:cs="宋体"/>
          <w:sz w:val="28"/>
          <w:szCs w:val="28"/>
        </w:rPr>
        <w:t>搭建展示技艺的平台，</w:t>
      </w:r>
      <w:r>
        <w:rPr>
          <w:rFonts w:hint="eastAsia" w:ascii="宋体" w:hAnsi="宋体" w:eastAsia="宋体" w:cs="宋体"/>
          <w:sz w:val="28"/>
          <w:szCs w:val="28"/>
        </w:rPr>
        <w:t>提供切磋交流的载体</w:t>
      </w:r>
      <w:r>
        <w:rPr>
          <w:rFonts w:hint="eastAsia" w:ascii="宋体" w:hAnsi="宋体" w:eastAsia="宋体" w:cs="宋体"/>
          <w:sz w:val="28"/>
          <w:szCs w:val="28"/>
        </w:rPr>
        <w:t>，营造崇尚技能、匠心筑梦的良好社会</w:t>
      </w:r>
      <w:r>
        <w:rPr>
          <w:rFonts w:hint="eastAsia" w:ascii="宋体" w:hAnsi="宋体" w:eastAsia="宋体" w:cs="宋体"/>
          <w:sz w:val="28"/>
          <w:szCs w:val="28"/>
        </w:rPr>
        <w:t>氛围</w:t>
      </w:r>
      <w:r>
        <w:rPr>
          <w:rFonts w:hint="eastAsia" w:ascii="宋体" w:hAnsi="宋体" w:eastAsia="宋体" w:cs="宋体"/>
          <w:sz w:val="28"/>
          <w:szCs w:val="28"/>
        </w:rPr>
        <w:t>。</w:t>
      </w:r>
    </w:p>
    <w:p w14:paraId="2727FEC2">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二、主办单位</w:t>
      </w:r>
    </w:p>
    <w:p w14:paraId="44650EF3">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上海中华职业教育社</w:t>
      </w:r>
    </w:p>
    <w:p w14:paraId="73FB5C23">
      <w:pPr>
        <w:pStyle w:val="15"/>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firstLine="562" w:firstLineChars="200"/>
        <w:jc w:val="left"/>
        <w:textAlignment w:val="auto"/>
        <w:rPr>
          <w:rFonts w:hint="eastAsia" w:ascii="宋体" w:hAnsi="宋体" w:eastAsia="宋体" w:cs="宋体"/>
          <w:b/>
          <w:sz w:val="28"/>
          <w:szCs w:val="28"/>
        </w:rPr>
      </w:pPr>
      <w:r>
        <w:rPr>
          <w:rFonts w:hint="default" w:ascii="宋体" w:hAnsi="宋体" w:eastAsia="宋体" w:cs="宋体"/>
          <w:b/>
          <w:kern w:val="2"/>
          <w:sz w:val="28"/>
          <w:szCs w:val="28"/>
          <w:lang w:val="en-US" w:eastAsia="zh-CN" w:bidi="ar-SA"/>
        </w:rPr>
        <w:t>三、</w:t>
      </w:r>
      <w:r>
        <w:rPr>
          <w:rFonts w:hint="eastAsia" w:ascii="宋体" w:hAnsi="宋体" w:eastAsia="宋体" w:cs="宋体"/>
          <w:b/>
          <w:sz w:val="28"/>
          <w:szCs w:val="28"/>
        </w:rPr>
        <w:t>承办协办单位</w:t>
      </w:r>
    </w:p>
    <w:p w14:paraId="0D0A9F15">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嘉定区中华职业教育社、上海淞泓智能汽车科技有限公司、上海科学技术职业学院、上海景格科技股份有限公司、北京百度网讯科技有限公司</w:t>
      </w:r>
    </w:p>
    <w:p w14:paraId="6B859F8D">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四、竞赛对象</w:t>
      </w:r>
    </w:p>
    <w:p w14:paraId="0F73498E">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社会从业人员、职业院校师生、社会培训机构学员。</w:t>
      </w:r>
    </w:p>
    <w:p w14:paraId="5B50D660">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五、报名办法</w:t>
      </w:r>
    </w:p>
    <w:p w14:paraId="473CF76B">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报名日期：2024年9月30日前</w:t>
      </w:r>
    </w:p>
    <w:p w14:paraId="7385F6AE">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报名时填写“2024年第十二届上海市‘中华杯’职业技能竞赛报名表”，可用电子邮件形式通过网上报名。</w:t>
      </w:r>
    </w:p>
    <w:p w14:paraId="41DE5CC0">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本赛项为单人赛。</w:t>
      </w:r>
    </w:p>
    <w:p w14:paraId="08EC95D9">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报名邮箱地址：yanling@jingge.com</w:t>
      </w:r>
    </w:p>
    <w:p w14:paraId="07A2CFC3">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联系人：王青    联系电话（手机）：15821187409</w:t>
      </w:r>
    </w:p>
    <w:p w14:paraId="1ADC705E">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严凌                    : 13621880849</w:t>
      </w:r>
    </w:p>
    <w:p w14:paraId="0BFEF597">
      <w:pPr>
        <w:keepNext w:val="0"/>
        <w:keepLines w:val="0"/>
        <w:pageBreakBefore w:val="0"/>
        <w:widowControl/>
        <w:kinsoku/>
        <w:wordWrap/>
        <w:overflowPunct/>
        <w:topLinePunct w:val="0"/>
        <w:autoSpaceDE/>
        <w:autoSpaceDN/>
        <w:bidi w:val="0"/>
        <w:adjustRightInd w:val="0"/>
        <w:snapToGrid w:val="0"/>
        <w:spacing w:line="440" w:lineRule="exact"/>
        <w:ind w:firstLine="562" w:firstLineChars="200"/>
        <w:jc w:val="left"/>
        <w:textAlignment w:val="auto"/>
        <w:rPr>
          <w:rFonts w:hint="eastAsia" w:ascii="宋体" w:hAnsi="宋体" w:eastAsia="宋体" w:cs="宋体"/>
          <w:b/>
          <w:sz w:val="28"/>
          <w:szCs w:val="28"/>
        </w:rPr>
      </w:pPr>
      <w:r>
        <w:rPr>
          <w:rFonts w:hint="eastAsia" w:ascii="宋体" w:hAnsi="宋体" w:eastAsia="宋体" w:cs="宋体"/>
          <w:b/>
          <w:sz w:val="28"/>
          <w:szCs w:val="28"/>
        </w:rPr>
        <w:t>六、参赛规则</w:t>
      </w:r>
    </w:p>
    <w:p w14:paraId="327DA97E">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t>一）熟悉比赛环境</w:t>
      </w:r>
    </w:p>
    <w:p w14:paraId="19DC0B69">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赛项比赛前一天下午安排参赛队熟悉比赛环境，召开领队会议，宣布竞赛纪律和有关规定。</w:t>
      </w:r>
    </w:p>
    <w:p w14:paraId="29AE7D4F">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（二）检录与加密解密</w:t>
      </w:r>
    </w:p>
    <w:p w14:paraId="260A0216">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按照全国技能大赛组委会要求，进行检录、一次加密、二次加密及解密等工作。</w:t>
      </w:r>
    </w:p>
    <w:p w14:paraId="68FEDD48">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（三）正式比赛</w:t>
      </w:r>
    </w:p>
    <w:p w14:paraId="147C0473">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参与大赛赛项成绩管理的组织机构包括裁判组、监督组和仲裁组， 受赛项执委会领导。</w:t>
      </w:r>
    </w:p>
    <w:p w14:paraId="74C37BD4">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裁判组实行“裁判长负责制”，设裁判长 1 名，全面负责赛项的裁判管理工作并处理比赛中出现的争议问题，副裁判长若干名，负责协助裁判长工作，以及一定数量的裁判员。</w:t>
      </w:r>
    </w:p>
    <w:p w14:paraId="0A725BDF">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裁判员根据比赛需要分为检录裁判、加密裁判、现场裁判和评分裁判。</w:t>
      </w:r>
    </w:p>
    <w:p w14:paraId="603B2432">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检录裁判负责对参赛队伍（选手）进行点名登记、身份核对等工作；</w:t>
      </w:r>
    </w:p>
    <w:p w14:paraId="57E8761E">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加密裁判负责组织参赛队伍（选手）抽签，对参赛队信息、抽签代码等进行加密；现场裁判按规定做好赛场记录，维护赛场纪律，评定参赛队的现场得分；评分裁判负责对参赛队伍（选手）的比赛作品、比赛表现按赛项评分标准进行评定。</w:t>
      </w:r>
    </w:p>
    <w:p w14:paraId="0C084294">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监督组对裁判组的工作进行全程监督，并对竞赛成绩抽检复核。</w:t>
      </w:r>
    </w:p>
    <w:p w14:paraId="33EEEDE6">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仲裁组负责接受由参赛队领队提出的对裁判结果的申诉，组织复议并及时反馈复议结果。</w:t>
      </w:r>
    </w:p>
    <w:p w14:paraId="1776EFA6">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其它未涉及事项或突发事件，由大赛组委会负责解释。</w:t>
      </w:r>
    </w:p>
    <w:p w14:paraId="6BAF9EA9">
      <w:pPr>
        <w:keepNext w:val="0"/>
        <w:keepLines w:val="0"/>
        <w:pageBreakBefore w:val="0"/>
        <w:kinsoku/>
        <w:wordWrap/>
        <w:overflowPunct/>
        <w:topLinePunct w:val="0"/>
        <w:autoSpaceDE/>
        <w:autoSpaceDN/>
        <w:bidi w:val="0"/>
        <w:spacing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七、竞赛内容</w:t>
      </w:r>
    </w:p>
    <w:p w14:paraId="70719904">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比赛采用理论考核+整车实操考核形式，理论考核为电脑上机考核。理论考核4</w:t>
      </w:r>
      <w:r>
        <w:rPr>
          <w:rFonts w:hint="eastAsia" w:ascii="宋体" w:hAnsi="宋体" w:eastAsia="宋体" w:cs="宋体"/>
          <w:sz w:val="28"/>
          <w:szCs w:val="28"/>
        </w:rPr>
        <w:t>5</w:t>
      </w:r>
      <w:r>
        <w:rPr>
          <w:rFonts w:hint="eastAsia" w:ascii="宋体" w:hAnsi="宋体" w:eastAsia="宋体" w:cs="宋体"/>
          <w:sz w:val="28"/>
          <w:szCs w:val="28"/>
        </w:rPr>
        <w:t>分钟。实操模块分为“</w:t>
      </w:r>
      <w:r>
        <w:rPr>
          <w:rFonts w:hint="eastAsia" w:ascii="宋体" w:hAnsi="宋体" w:eastAsia="宋体" w:cs="宋体"/>
          <w:bCs/>
          <w:sz w:val="28"/>
          <w:szCs w:val="28"/>
        </w:rPr>
        <w:t>自动驾驶功能道路测试前准备</w:t>
      </w:r>
      <w:r>
        <w:rPr>
          <w:rFonts w:hint="eastAsia" w:ascii="宋体" w:hAnsi="宋体" w:eastAsia="宋体" w:cs="宋体"/>
          <w:sz w:val="28"/>
          <w:szCs w:val="28"/>
        </w:rPr>
        <w:t>”、“</w:t>
      </w:r>
      <w:r>
        <w:rPr>
          <w:rFonts w:hint="eastAsia" w:ascii="宋体" w:hAnsi="宋体" w:eastAsia="宋体" w:cs="宋体"/>
          <w:bCs/>
          <w:sz w:val="28"/>
          <w:szCs w:val="28"/>
        </w:rPr>
        <w:t>自动驾驶功能道路测试</w:t>
      </w:r>
      <w:r>
        <w:rPr>
          <w:rFonts w:hint="eastAsia" w:ascii="宋体" w:hAnsi="宋体" w:eastAsia="宋体" w:cs="宋体"/>
          <w:sz w:val="28"/>
          <w:szCs w:val="28"/>
        </w:rPr>
        <w:t>”二个竞赛模块，</w:t>
      </w:r>
      <w:r>
        <w:rPr>
          <w:rFonts w:hint="eastAsia" w:ascii="宋体" w:hAnsi="宋体" w:eastAsia="宋体" w:cs="宋体"/>
          <w:sz w:val="28"/>
          <w:szCs w:val="28"/>
        </w:rPr>
        <w:t>根据竞赛提供的车辆、设备、设施在60分钟内完成实操竞赛任务。</w:t>
      </w:r>
    </w:p>
    <w:p w14:paraId="48C7D581">
      <w:pPr>
        <w:keepNext w:val="0"/>
        <w:keepLines w:val="0"/>
        <w:pageBreakBefore w:val="0"/>
        <w:kinsoku/>
        <w:wordWrap/>
        <w:overflowPunct/>
        <w:topLinePunct w:val="0"/>
        <w:autoSpaceDE/>
        <w:autoSpaceDN/>
        <w:bidi w:val="0"/>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（一）赛项模块</w:t>
      </w:r>
    </w:p>
    <w:tbl>
      <w:tblPr>
        <w:tblStyle w:val="8"/>
        <w:tblW w:w="897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95"/>
        <w:gridCol w:w="1494"/>
        <w:gridCol w:w="3627"/>
        <w:gridCol w:w="1417"/>
        <w:gridCol w:w="1045"/>
      </w:tblGrid>
      <w:tr w14:paraId="544558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1" w:hRule="atLeast"/>
          <w:jc w:val="center"/>
        </w:trPr>
        <w:tc>
          <w:tcPr>
            <w:tcW w:w="2889" w:type="dxa"/>
            <w:gridSpan w:val="2"/>
            <w:vAlign w:val="bottom"/>
          </w:tcPr>
          <w:p w14:paraId="6F6207D7">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模块</w:t>
            </w:r>
          </w:p>
        </w:tc>
        <w:tc>
          <w:tcPr>
            <w:tcW w:w="3627" w:type="dxa"/>
            <w:vAlign w:val="bottom"/>
          </w:tcPr>
          <w:p w14:paraId="1ED3C4E2">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主要内容</w:t>
            </w:r>
          </w:p>
        </w:tc>
        <w:tc>
          <w:tcPr>
            <w:tcW w:w="1417" w:type="dxa"/>
            <w:vAlign w:val="bottom"/>
          </w:tcPr>
          <w:p w14:paraId="3D34DCA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比赛时长</w:t>
            </w:r>
          </w:p>
        </w:tc>
        <w:tc>
          <w:tcPr>
            <w:tcW w:w="1045" w:type="dxa"/>
            <w:vAlign w:val="center"/>
          </w:tcPr>
          <w:p w14:paraId="3001E89B">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分值</w:t>
            </w:r>
          </w:p>
        </w:tc>
      </w:tr>
      <w:tr w14:paraId="5F2860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1" w:hRule="atLeast"/>
          <w:jc w:val="center"/>
        </w:trPr>
        <w:tc>
          <w:tcPr>
            <w:tcW w:w="1395" w:type="dxa"/>
            <w:vAlign w:val="center"/>
          </w:tcPr>
          <w:p w14:paraId="035D35F2">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模块一</w:t>
            </w:r>
          </w:p>
        </w:tc>
        <w:tc>
          <w:tcPr>
            <w:tcW w:w="1494" w:type="dxa"/>
            <w:vAlign w:val="center"/>
          </w:tcPr>
          <w:p w14:paraId="29EB462E">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理论考核</w:t>
            </w:r>
          </w:p>
        </w:tc>
        <w:tc>
          <w:tcPr>
            <w:tcW w:w="3627" w:type="dxa"/>
            <w:vAlign w:val="center"/>
          </w:tcPr>
          <w:p w14:paraId="41F00E3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智能网联技术</w:t>
            </w:r>
          </w:p>
        </w:tc>
        <w:tc>
          <w:tcPr>
            <w:tcW w:w="1417" w:type="dxa"/>
            <w:vAlign w:val="center"/>
          </w:tcPr>
          <w:p w14:paraId="315DC34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45</w:t>
            </w:r>
            <w:r>
              <w:rPr>
                <w:rFonts w:hint="eastAsia" w:ascii="宋体" w:hAnsi="宋体" w:eastAsia="宋体" w:cs="宋体"/>
                <w:sz w:val="28"/>
                <w:szCs w:val="28"/>
              </w:rPr>
              <w:t>分钟</w:t>
            </w:r>
          </w:p>
        </w:tc>
        <w:tc>
          <w:tcPr>
            <w:tcW w:w="1045" w:type="dxa"/>
            <w:vAlign w:val="center"/>
          </w:tcPr>
          <w:p w14:paraId="75191ADC">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30分</w:t>
            </w:r>
          </w:p>
        </w:tc>
      </w:tr>
      <w:tr w14:paraId="415293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2" w:hRule="atLeast"/>
          <w:jc w:val="center"/>
        </w:trPr>
        <w:tc>
          <w:tcPr>
            <w:tcW w:w="1395" w:type="dxa"/>
            <w:vAlign w:val="center"/>
          </w:tcPr>
          <w:p w14:paraId="2B00B072">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模块二</w:t>
            </w:r>
          </w:p>
        </w:tc>
        <w:tc>
          <w:tcPr>
            <w:tcW w:w="1494" w:type="dxa"/>
            <w:vAlign w:val="center"/>
          </w:tcPr>
          <w:p w14:paraId="547DC64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bCs/>
                <w:sz w:val="28"/>
                <w:szCs w:val="28"/>
              </w:rPr>
              <w:t>自动驾驶功能道路测试前准备</w:t>
            </w:r>
          </w:p>
        </w:tc>
        <w:tc>
          <w:tcPr>
            <w:tcW w:w="3627" w:type="dxa"/>
            <w:vAlign w:val="center"/>
          </w:tcPr>
          <w:p w14:paraId="782D5D5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bCs/>
                <w:sz w:val="28"/>
                <w:szCs w:val="28"/>
              </w:rPr>
              <w:t>对智能网联汽车</w:t>
            </w:r>
            <w:r>
              <w:rPr>
                <w:rFonts w:hint="eastAsia" w:ascii="宋体" w:hAnsi="宋体" w:eastAsia="宋体" w:cs="宋体"/>
                <w:sz w:val="28"/>
                <w:szCs w:val="28"/>
              </w:rPr>
              <w:t>的关键零部件</w:t>
            </w:r>
            <w:r>
              <w:rPr>
                <w:rFonts w:hint="eastAsia" w:ascii="宋体" w:hAnsi="宋体" w:eastAsia="宋体" w:cs="宋体"/>
                <w:bCs/>
                <w:sz w:val="28"/>
                <w:szCs w:val="28"/>
              </w:rPr>
              <w:t>可能存在的装配、配置等异常情况进行检查和相关参数设置，使车辆具备进行道路测试的工作状态。</w:t>
            </w:r>
          </w:p>
        </w:tc>
        <w:tc>
          <w:tcPr>
            <w:tcW w:w="1417" w:type="dxa"/>
            <w:vMerge w:val="restart"/>
            <w:vAlign w:val="center"/>
          </w:tcPr>
          <w:p w14:paraId="7F631651">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60分钟</w:t>
            </w:r>
          </w:p>
        </w:tc>
        <w:tc>
          <w:tcPr>
            <w:tcW w:w="1045" w:type="dxa"/>
            <w:vMerge w:val="restart"/>
            <w:vAlign w:val="center"/>
          </w:tcPr>
          <w:p w14:paraId="175C0C5A">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70分</w:t>
            </w:r>
          </w:p>
        </w:tc>
      </w:tr>
      <w:tr w14:paraId="021088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2" w:hRule="atLeast"/>
          <w:jc w:val="center"/>
        </w:trPr>
        <w:tc>
          <w:tcPr>
            <w:tcW w:w="1395" w:type="dxa"/>
            <w:vAlign w:val="center"/>
          </w:tcPr>
          <w:p w14:paraId="18033836">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模块三</w:t>
            </w:r>
          </w:p>
        </w:tc>
        <w:tc>
          <w:tcPr>
            <w:tcW w:w="1494" w:type="dxa"/>
            <w:vAlign w:val="center"/>
          </w:tcPr>
          <w:p w14:paraId="4E901C0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bCs/>
                <w:sz w:val="28"/>
                <w:szCs w:val="28"/>
              </w:rPr>
              <w:t>自动驾驶功能道路测试</w:t>
            </w:r>
          </w:p>
        </w:tc>
        <w:tc>
          <w:tcPr>
            <w:tcW w:w="3627" w:type="dxa"/>
            <w:vAlign w:val="center"/>
          </w:tcPr>
          <w:p w14:paraId="0990ED8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bCs/>
                <w:sz w:val="28"/>
                <w:szCs w:val="28"/>
              </w:rPr>
              <w:t>在室外规定道路上进行智能网联汽车的循迹、停障、绕障功能测试。</w:t>
            </w:r>
          </w:p>
        </w:tc>
        <w:tc>
          <w:tcPr>
            <w:tcW w:w="1417" w:type="dxa"/>
            <w:vMerge w:val="continue"/>
            <w:vAlign w:val="center"/>
          </w:tcPr>
          <w:p w14:paraId="17F5F0F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p>
        </w:tc>
        <w:tc>
          <w:tcPr>
            <w:tcW w:w="1045" w:type="dxa"/>
            <w:vMerge w:val="continue"/>
            <w:vAlign w:val="center"/>
          </w:tcPr>
          <w:p w14:paraId="512B3802">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p>
        </w:tc>
      </w:tr>
    </w:tbl>
    <w:p w14:paraId="5B693D50">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（二）实操竞赛任务</w:t>
      </w:r>
    </w:p>
    <w:p w14:paraId="64705B3F">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w:t>
      </w:r>
      <w:r>
        <w:rPr>
          <w:rFonts w:hint="eastAsia" w:ascii="宋体" w:hAnsi="宋体" w:eastAsia="宋体" w:cs="宋体"/>
          <w:sz w:val="28"/>
          <w:szCs w:val="28"/>
        </w:rPr>
        <w:t>完成工作场地布置、安全防具穿戴，进行设备、工具的检查和清点。</w:t>
      </w:r>
    </w:p>
    <w:p w14:paraId="4569665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rPr>
        <w:t>.</w:t>
      </w:r>
      <w:r>
        <w:rPr>
          <w:rFonts w:hint="eastAsia" w:ascii="宋体" w:hAnsi="宋体" w:eastAsia="宋体" w:cs="宋体"/>
          <w:sz w:val="28"/>
          <w:szCs w:val="28"/>
        </w:rPr>
        <w:t>完成部分感知部件的线路连接。</w:t>
      </w:r>
    </w:p>
    <w:p w14:paraId="7786F08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rPr>
        <w:t>.</w:t>
      </w:r>
      <w:r>
        <w:rPr>
          <w:rFonts w:hint="eastAsia" w:ascii="宋体" w:hAnsi="宋体" w:eastAsia="宋体" w:cs="宋体"/>
          <w:sz w:val="28"/>
          <w:szCs w:val="28"/>
        </w:rPr>
        <w:t>完成激光雷达、单目相机、GNSS等设备与整车的通信适配、参数设置，过程中对可能存在的故障进行检测和排除。</w:t>
      </w:r>
    </w:p>
    <w:p w14:paraId="0EC5CF8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rPr>
        <w:t>.</w:t>
      </w:r>
      <w:r>
        <w:rPr>
          <w:rFonts w:hint="eastAsia" w:ascii="宋体" w:hAnsi="宋体" w:eastAsia="宋体" w:cs="宋体"/>
          <w:sz w:val="28"/>
          <w:szCs w:val="28"/>
        </w:rPr>
        <w:t>进行智能网联车辆的自动驾驶功能道路测试，包括自动驾驶循迹、自动紧急制动、主动避障。若车辆中途出现一般性故障或事故，在竞赛时间以内，车辆可返回调试区进行故障检修和排除，维修完毕后可继续参加道路测试比赛；若车辆中途出现碰撞或进入相邻赛道等严重事故，则该车辆对应选手的竞赛项目终止。</w:t>
      </w:r>
    </w:p>
    <w:p w14:paraId="55B7EE5F">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rPr>
        <w:t>.</w:t>
      </w:r>
      <w:r>
        <w:rPr>
          <w:rFonts w:hint="eastAsia" w:ascii="宋体" w:hAnsi="宋体" w:eastAsia="宋体" w:cs="宋体"/>
          <w:sz w:val="28"/>
          <w:szCs w:val="28"/>
        </w:rPr>
        <w:t>完成任务工单的填写。</w:t>
      </w:r>
    </w:p>
    <w:p w14:paraId="555FBF99">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八、</w:t>
      </w:r>
      <w:r>
        <w:rPr>
          <w:rFonts w:hint="eastAsia" w:ascii="宋体" w:hAnsi="宋体" w:eastAsia="宋体" w:cs="宋体"/>
          <w:b/>
          <w:sz w:val="28"/>
          <w:szCs w:val="28"/>
        </w:rPr>
        <w:t>竞赛方式</w:t>
      </w:r>
    </w:p>
    <w:p w14:paraId="1F1A8A4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事第一模块采用统一计算机考试（选手每人一台计算机，直接在计算机上完成比赛），比赛现场由裁判长从已创建的难度相当的多套试卷中选择一套试卷并发布考核进行比赛，参赛选手使用比赛账号登录云立方虚拟实训平台，需严格按照赛事流程完成比赛。</w:t>
      </w:r>
    </w:p>
    <w:p w14:paraId="5837E8F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赛事第</w:t>
      </w:r>
      <w:r>
        <w:rPr>
          <w:rFonts w:hint="eastAsia" w:ascii="宋体" w:hAnsi="宋体" w:eastAsia="宋体" w:cs="宋体"/>
          <w:sz w:val="28"/>
          <w:szCs w:val="28"/>
        </w:rPr>
        <w:t>二</w:t>
      </w:r>
      <w:r>
        <w:rPr>
          <w:rFonts w:hint="eastAsia" w:ascii="宋体" w:hAnsi="宋体" w:eastAsia="宋体" w:cs="宋体"/>
          <w:sz w:val="28"/>
          <w:szCs w:val="28"/>
        </w:rPr>
        <w:t>模块由裁判长安排</w:t>
      </w:r>
      <w:r>
        <w:rPr>
          <w:rFonts w:hint="eastAsia" w:ascii="宋体" w:hAnsi="宋体" w:eastAsia="宋体" w:cs="宋体"/>
          <w:sz w:val="28"/>
          <w:szCs w:val="28"/>
        </w:rPr>
        <w:t>轮流</w:t>
      </w:r>
      <w:r>
        <w:rPr>
          <w:rFonts w:hint="eastAsia" w:ascii="宋体" w:hAnsi="宋体" w:eastAsia="宋体" w:cs="宋体"/>
          <w:sz w:val="28"/>
          <w:szCs w:val="28"/>
        </w:rPr>
        <w:t>至承办校内</w:t>
      </w:r>
      <w:r>
        <w:rPr>
          <w:rFonts w:hint="eastAsia" w:ascii="宋体" w:hAnsi="宋体" w:eastAsia="宋体" w:cs="宋体"/>
          <w:sz w:val="28"/>
          <w:szCs w:val="28"/>
        </w:rPr>
        <w:t>网联</w:t>
      </w:r>
      <w:r>
        <w:rPr>
          <w:rFonts w:hint="eastAsia" w:ascii="宋体" w:hAnsi="宋体" w:eastAsia="宋体" w:cs="宋体"/>
          <w:sz w:val="28"/>
          <w:szCs w:val="28"/>
        </w:rPr>
        <w:t>工位考核，</w:t>
      </w:r>
      <w:r>
        <w:rPr>
          <w:rFonts w:hint="eastAsia" w:ascii="宋体" w:hAnsi="宋体" w:eastAsia="宋体" w:cs="宋体"/>
          <w:sz w:val="28"/>
          <w:szCs w:val="28"/>
        </w:rPr>
        <w:t>成绩排名根据考生总成绩进行排名，如遇成绩相同的考生，则以完成时间短者靠前。</w:t>
      </w:r>
    </w:p>
    <w:p w14:paraId="67C2CD9A">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九、竞赛时间</w:t>
      </w:r>
    </w:p>
    <w:p w14:paraId="3FBADB6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确定承办校：</w:t>
      </w:r>
      <w:r>
        <w:rPr>
          <w:rFonts w:hint="eastAsia" w:ascii="宋体" w:hAnsi="宋体" w:eastAsia="宋体" w:cs="宋体"/>
          <w:sz w:val="28"/>
          <w:szCs w:val="28"/>
        </w:rPr>
        <w:t>2024</w:t>
      </w:r>
      <w:r>
        <w:rPr>
          <w:rFonts w:hint="eastAsia" w:ascii="宋体" w:hAnsi="宋体" w:eastAsia="宋体" w:cs="宋体"/>
          <w:sz w:val="28"/>
          <w:szCs w:val="28"/>
        </w:rPr>
        <w:t>年</w:t>
      </w:r>
      <w:r>
        <w:rPr>
          <w:rFonts w:hint="eastAsia" w:ascii="宋体" w:hAnsi="宋体" w:eastAsia="宋体" w:cs="宋体"/>
          <w:sz w:val="28"/>
          <w:szCs w:val="28"/>
        </w:rPr>
        <w:t>08</w:t>
      </w:r>
      <w:r>
        <w:rPr>
          <w:rFonts w:hint="eastAsia" w:ascii="宋体" w:hAnsi="宋体" w:eastAsia="宋体" w:cs="宋体"/>
          <w:sz w:val="28"/>
          <w:szCs w:val="28"/>
        </w:rPr>
        <w:t>月</w:t>
      </w:r>
      <w:r>
        <w:rPr>
          <w:rFonts w:hint="eastAsia" w:ascii="宋体" w:hAnsi="宋体" w:eastAsia="宋体" w:cs="宋体"/>
          <w:sz w:val="28"/>
          <w:szCs w:val="28"/>
        </w:rPr>
        <w:t>10</w:t>
      </w:r>
      <w:r>
        <w:rPr>
          <w:rFonts w:hint="eastAsia" w:ascii="宋体" w:hAnsi="宋体" w:eastAsia="宋体" w:cs="宋体"/>
          <w:sz w:val="28"/>
          <w:szCs w:val="28"/>
        </w:rPr>
        <w:t>日</w:t>
      </w:r>
    </w:p>
    <w:p w14:paraId="7E7EF5D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赛前说明会：</w:t>
      </w:r>
      <w:r>
        <w:rPr>
          <w:rFonts w:hint="eastAsia" w:ascii="宋体" w:hAnsi="宋体" w:eastAsia="宋体" w:cs="宋体"/>
          <w:sz w:val="28"/>
          <w:szCs w:val="28"/>
        </w:rPr>
        <w:t>2024</w:t>
      </w:r>
      <w:r>
        <w:rPr>
          <w:rFonts w:hint="eastAsia" w:ascii="宋体" w:hAnsi="宋体" w:eastAsia="宋体" w:cs="宋体"/>
          <w:sz w:val="28"/>
          <w:szCs w:val="28"/>
        </w:rPr>
        <w:t>年</w:t>
      </w:r>
      <w:r>
        <w:rPr>
          <w:rFonts w:hint="eastAsia" w:ascii="宋体" w:hAnsi="宋体" w:eastAsia="宋体" w:cs="宋体"/>
          <w:sz w:val="28"/>
          <w:szCs w:val="28"/>
        </w:rPr>
        <w:t>10</w:t>
      </w:r>
      <w:r>
        <w:rPr>
          <w:rFonts w:hint="eastAsia" w:ascii="宋体" w:hAnsi="宋体" w:eastAsia="宋体" w:cs="宋体"/>
          <w:sz w:val="28"/>
          <w:szCs w:val="28"/>
        </w:rPr>
        <w:t>月</w:t>
      </w:r>
      <w:r>
        <w:rPr>
          <w:rFonts w:hint="eastAsia" w:ascii="宋体" w:hAnsi="宋体" w:eastAsia="宋体" w:cs="宋体"/>
          <w:sz w:val="28"/>
          <w:szCs w:val="28"/>
        </w:rPr>
        <w:t>10</w:t>
      </w:r>
      <w:r>
        <w:rPr>
          <w:rFonts w:hint="eastAsia" w:ascii="宋体" w:hAnsi="宋体" w:eastAsia="宋体" w:cs="宋体"/>
          <w:sz w:val="28"/>
          <w:szCs w:val="28"/>
        </w:rPr>
        <w:t>日。</w:t>
      </w:r>
    </w:p>
    <w:p w14:paraId="67A9747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参赛学校免费使用训练</w:t>
      </w:r>
    </w:p>
    <w:p w14:paraId="6AE6111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软硬件安装调试：</w:t>
      </w:r>
      <w:r>
        <w:rPr>
          <w:rFonts w:hint="eastAsia" w:ascii="宋体" w:hAnsi="宋体" w:eastAsia="宋体" w:cs="宋体"/>
          <w:sz w:val="28"/>
          <w:szCs w:val="28"/>
        </w:rPr>
        <w:t>2024</w:t>
      </w:r>
      <w:r>
        <w:rPr>
          <w:rFonts w:hint="eastAsia" w:ascii="宋体" w:hAnsi="宋体" w:eastAsia="宋体" w:cs="宋体"/>
          <w:sz w:val="28"/>
          <w:szCs w:val="28"/>
        </w:rPr>
        <w:t>年</w:t>
      </w:r>
      <w:r>
        <w:rPr>
          <w:rFonts w:hint="eastAsia" w:ascii="宋体" w:hAnsi="宋体" w:eastAsia="宋体" w:cs="宋体"/>
          <w:sz w:val="28"/>
          <w:szCs w:val="28"/>
        </w:rPr>
        <w:t>09</w:t>
      </w:r>
      <w:r>
        <w:rPr>
          <w:rFonts w:hint="eastAsia" w:ascii="宋体" w:hAnsi="宋体" w:eastAsia="宋体" w:cs="宋体"/>
          <w:sz w:val="28"/>
          <w:szCs w:val="28"/>
        </w:rPr>
        <w:t>月</w:t>
      </w:r>
      <w:r>
        <w:rPr>
          <w:rFonts w:hint="eastAsia" w:ascii="宋体" w:hAnsi="宋体" w:eastAsia="宋体" w:cs="宋体"/>
          <w:sz w:val="28"/>
          <w:szCs w:val="28"/>
        </w:rPr>
        <w:t>30</w:t>
      </w:r>
      <w:r>
        <w:rPr>
          <w:rFonts w:hint="eastAsia" w:ascii="宋体" w:hAnsi="宋体" w:eastAsia="宋体" w:cs="宋体"/>
          <w:sz w:val="28"/>
          <w:szCs w:val="28"/>
        </w:rPr>
        <w:t>日（</w:t>
      </w:r>
      <w:r>
        <w:rPr>
          <w:rFonts w:hint="eastAsia" w:ascii="宋体" w:hAnsi="宋体" w:eastAsia="宋体" w:cs="宋体"/>
          <w:sz w:val="28"/>
          <w:szCs w:val="28"/>
        </w:rPr>
        <w:t>提前</w:t>
      </w:r>
      <w:r>
        <w:rPr>
          <w:rFonts w:hint="eastAsia" w:ascii="宋体" w:hAnsi="宋体" w:eastAsia="宋体" w:cs="宋体"/>
          <w:sz w:val="28"/>
          <w:szCs w:val="28"/>
        </w:rPr>
        <w:t>一个月）</w:t>
      </w:r>
    </w:p>
    <w:p w14:paraId="172B402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软硬件学习与使用：</w:t>
      </w:r>
      <w:r>
        <w:rPr>
          <w:rFonts w:hint="eastAsia" w:ascii="宋体" w:hAnsi="宋体" w:eastAsia="宋体" w:cs="宋体"/>
          <w:sz w:val="28"/>
          <w:szCs w:val="28"/>
        </w:rPr>
        <w:t>2024</w:t>
      </w:r>
      <w:r>
        <w:rPr>
          <w:rFonts w:hint="eastAsia" w:ascii="宋体" w:hAnsi="宋体" w:eastAsia="宋体" w:cs="宋体"/>
          <w:sz w:val="28"/>
          <w:szCs w:val="28"/>
        </w:rPr>
        <w:t>年</w:t>
      </w:r>
      <w:r>
        <w:rPr>
          <w:rFonts w:hint="eastAsia" w:ascii="宋体" w:hAnsi="宋体" w:eastAsia="宋体" w:cs="宋体"/>
          <w:sz w:val="28"/>
          <w:szCs w:val="28"/>
        </w:rPr>
        <w:t>09</w:t>
      </w:r>
      <w:r>
        <w:rPr>
          <w:rFonts w:hint="eastAsia" w:ascii="宋体" w:hAnsi="宋体" w:eastAsia="宋体" w:cs="宋体"/>
          <w:sz w:val="28"/>
          <w:szCs w:val="28"/>
        </w:rPr>
        <w:t>月</w:t>
      </w:r>
      <w:r>
        <w:rPr>
          <w:rFonts w:hint="eastAsia" w:ascii="宋体" w:hAnsi="宋体" w:eastAsia="宋体" w:cs="宋体"/>
          <w:sz w:val="28"/>
          <w:szCs w:val="28"/>
        </w:rPr>
        <w:t>30</w:t>
      </w:r>
      <w:r>
        <w:rPr>
          <w:rFonts w:hint="eastAsia" w:ascii="宋体" w:hAnsi="宋体" w:eastAsia="宋体" w:cs="宋体"/>
          <w:sz w:val="28"/>
          <w:szCs w:val="28"/>
        </w:rPr>
        <w:t>日</w:t>
      </w:r>
      <w:r>
        <w:rPr>
          <w:rFonts w:hint="eastAsia" w:ascii="宋体" w:hAnsi="宋体" w:eastAsia="宋体" w:cs="宋体"/>
          <w:sz w:val="28"/>
          <w:szCs w:val="28"/>
        </w:rPr>
        <w:t>-10月20</w:t>
      </w:r>
      <w:r>
        <w:rPr>
          <w:rFonts w:hint="eastAsia" w:ascii="宋体" w:hAnsi="宋体" w:eastAsia="宋体" w:cs="宋体"/>
          <w:sz w:val="28"/>
          <w:szCs w:val="28"/>
        </w:rPr>
        <w:t>日，参赛选手自由练习</w:t>
      </w:r>
    </w:p>
    <w:p w14:paraId="71480D9F">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软硬件应用培训：</w:t>
      </w:r>
      <w:r>
        <w:rPr>
          <w:rFonts w:hint="eastAsia" w:ascii="宋体" w:hAnsi="宋体" w:eastAsia="宋体" w:cs="宋体"/>
          <w:sz w:val="28"/>
          <w:szCs w:val="28"/>
        </w:rPr>
        <w:t>2024</w:t>
      </w:r>
      <w:r>
        <w:rPr>
          <w:rFonts w:hint="eastAsia" w:ascii="宋体" w:hAnsi="宋体" w:eastAsia="宋体" w:cs="宋体"/>
          <w:sz w:val="28"/>
          <w:szCs w:val="28"/>
        </w:rPr>
        <w:t>年</w:t>
      </w:r>
      <w:r>
        <w:rPr>
          <w:rFonts w:hint="eastAsia" w:ascii="宋体" w:hAnsi="宋体" w:eastAsia="宋体" w:cs="宋体"/>
          <w:sz w:val="28"/>
          <w:szCs w:val="28"/>
        </w:rPr>
        <w:t>10</w:t>
      </w:r>
      <w:r>
        <w:rPr>
          <w:rFonts w:hint="eastAsia" w:ascii="宋体" w:hAnsi="宋体" w:eastAsia="宋体" w:cs="宋体"/>
          <w:sz w:val="28"/>
          <w:szCs w:val="28"/>
        </w:rPr>
        <w:t>月</w:t>
      </w:r>
      <w:r>
        <w:rPr>
          <w:rFonts w:hint="eastAsia" w:ascii="宋体" w:hAnsi="宋体" w:eastAsia="宋体" w:cs="宋体"/>
          <w:sz w:val="28"/>
          <w:szCs w:val="28"/>
        </w:rPr>
        <w:t>10</w:t>
      </w:r>
      <w:r>
        <w:rPr>
          <w:rFonts w:hint="eastAsia" w:ascii="宋体" w:hAnsi="宋体" w:eastAsia="宋体" w:cs="宋体"/>
          <w:sz w:val="28"/>
          <w:szCs w:val="28"/>
        </w:rPr>
        <w:t>日。</w:t>
      </w:r>
    </w:p>
    <w:p w14:paraId="743F929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报道：</w:t>
      </w:r>
      <w:r>
        <w:rPr>
          <w:rFonts w:hint="eastAsia" w:ascii="宋体" w:hAnsi="宋体" w:eastAsia="宋体" w:cs="宋体"/>
          <w:sz w:val="28"/>
          <w:szCs w:val="28"/>
        </w:rPr>
        <w:t>2024</w:t>
      </w:r>
      <w:r>
        <w:rPr>
          <w:rFonts w:hint="eastAsia" w:ascii="宋体" w:hAnsi="宋体" w:eastAsia="宋体" w:cs="宋体"/>
          <w:sz w:val="28"/>
          <w:szCs w:val="28"/>
        </w:rPr>
        <w:t>年</w:t>
      </w:r>
      <w:r>
        <w:rPr>
          <w:rFonts w:hint="eastAsia" w:ascii="宋体" w:hAnsi="宋体" w:eastAsia="宋体" w:cs="宋体"/>
          <w:sz w:val="28"/>
          <w:szCs w:val="28"/>
        </w:rPr>
        <w:t>10月底</w:t>
      </w:r>
    </w:p>
    <w:p w14:paraId="45E747D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赛前场地观摩：</w:t>
      </w:r>
      <w:r>
        <w:rPr>
          <w:rFonts w:hint="eastAsia" w:ascii="宋体" w:hAnsi="宋体" w:eastAsia="宋体" w:cs="宋体"/>
          <w:sz w:val="28"/>
          <w:szCs w:val="28"/>
        </w:rPr>
        <w:t>2024年10月底</w:t>
      </w:r>
    </w:p>
    <w:p w14:paraId="41323F8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比赛日期：2024年10月底</w:t>
      </w:r>
    </w:p>
    <w:p w14:paraId="3165EFF0">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十、竞赛地点</w:t>
      </w:r>
    </w:p>
    <w:p w14:paraId="4F06D87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上海科学技术职业学院</w:t>
      </w:r>
    </w:p>
    <w:p w14:paraId="038B3C99">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十一、技术规范</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28B6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06" w:hRule="atLeast"/>
          <w:jc w:val="center"/>
        </w:trPr>
        <w:tc>
          <w:tcPr>
            <w:tcW w:w="9180" w:type="dxa"/>
            <w:tcBorders>
              <w:top w:val="single" w:color="000000" w:sz="2" w:space="0"/>
              <w:left w:val="single" w:color="000000" w:sz="2" w:space="0"/>
              <w:right w:val="single" w:color="000000" w:sz="2" w:space="0"/>
            </w:tcBorders>
          </w:tcPr>
          <w:p w14:paraId="0FA069F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（一）法律法规</w:t>
            </w:r>
          </w:p>
          <w:p w14:paraId="180ECF6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《中华人民共和国安全生产法》</w:t>
            </w:r>
          </w:p>
          <w:p w14:paraId="0B384B2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《机动车维修管理规定》</w:t>
            </w:r>
          </w:p>
          <w:p w14:paraId="09A73C9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（二）技术标准</w:t>
            </w:r>
          </w:p>
          <w:p w14:paraId="6FCBE2D0">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GB/T18344-2016汽车维护、检测、诊断技术规范</w:t>
            </w:r>
          </w:p>
          <w:p w14:paraId="7BC938B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GB7258-2017机动车运行安全技术条件</w:t>
            </w:r>
          </w:p>
          <w:p w14:paraId="7192187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GB/T15746-2011汽车修理质量检查评定方法</w:t>
            </w:r>
          </w:p>
          <w:p w14:paraId="0CC0EEB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GB/T19910-2005汽车发动机电子控制系统修理技术要求</w:t>
            </w:r>
          </w:p>
          <w:p w14:paraId="60937EF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GB/T18384.1-2015电动汽车安全要求第1部分：车载可充电储能系统(REESS)</w:t>
            </w:r>
          </w:p>
          <w:p w14:paraId="157B577A">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GB/T18384.2-2015电动汽车安全要求第2部分：操作安全和故障防护</w:t>
            </w:r>
          </w:p>
          <w:p w14:paraId="37D7933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GB/T18384.3-2015电动汽车安全要求第3部分：人员触电防护</w:t>
            </w:r>
          </w:p>
          <w:p w14:paraId="6436E7F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GB/T28382-2012纯电动乘用车技术条件</w:t>
            </w:r>
          </w:p>
          <w:p w14:paraId="296EB44C">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GB/T18385-2005电动汽车动力性能试验方法</w:t>
            </w:r>
          </w:p>
          <w:p w14:paraId="170783D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GB/T18487.1-2015电动汽车传导充电系统第1部分通用要求</w:t>
            </w:r>
          </w:p>
          <w:p w14:paraId="165A1D8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GB/T31486-2015电动汽车用动力蓄电池电性能要求及试验方法</w:t>
            </w:r>
          </w:p>
          <w:p w14:paraId="1A2BD45C">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GB/T18488.1-2015电动汽车用驱动电机系统第1部分：技术条件</w:t>
            </w:r>
          </w:p>
          <w:p w14:paraId="1E7E7AC2">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GB/T18488.2-2015电动汽车用驱动电机系统第2部分：试验方法</w:t>
            </w:r>
          </w:p>
          <w:p w14:paraId="753813D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GB/T20234.1-2015电动汽车传导充电用连接装置第1部分：通用要求</w:t>
            </w:r>
          </w:p>
          <w:p w14:paraId="035DA46E">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GB/T20234.2-2015电动汽车传导充电用连接装置第2部分：交流充电接口</w:t>
            </w:r>
          </w:p>
          <w:p w14:paraId="3A79BF8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GB/T19596-2017电动汽车术语</w:t>
            </w:r>
          </w:p>
          <w:p w14:paraId="6BB5F81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GB/T24347-2009电动汽车DC/DC变换器</w:t>
            </w:r>
          </w:p>
          <w:p w14:paraId="450D4252">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《智能网联汽车自动驾驶功能测试规程》由CAICV和NTCAS联合发布</w:t>
            </w:r>
          </w:p>
        </w:tc>
      </w:tr>
    </w:tbl>
    <w:p w14:paraId="6B3CF672">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十二、技术环境</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1AEF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7" w:hRule="atLeast"/>
          <w:jc w:val="center"/>
        </w:trPr>
        <w:tc>
          <w:tcPr>
            <w:tcW w:w="9180" w:type="dxa"/>
            <w:tcBorders>
              <w:top w:val="single" w:color="000000" w:sz="2" w:space="0"/>
              <w:left w:val="single" w:color="000000" w:sz="2" w:space="0"/>
              <w:right w:val="single" w:color="000000" w:sz="2" w:space="0"/>
            </w:tcBorders>
          </w:tcPr>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33"/>
              <w:gridCol w:w="851"/>
              <w:gridCol w:w="6481"/>
            </w:tblGrid>
            <w:tr w14:paraId="490283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165" w:type="dxa"/>
                  <w:gridSpan w:val="3"/>
                </w:tcPr>
                <w:p w14:paraId="28AE7D1D">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t>一</w:t>
                  </w:r>
                  <w:r>
                    <w:rPr>
                      <w:rFonts w:hint="eastAsia" w:ascii="宋体" w:hAnsi="宋体" w:eastAsia="宋体" w:cs="宋体"/>
                      <w:sz w:val="28"/>
                      <w:szCs w:val="28"/>
                    </w:rPr>
                    <w:t>）</w:t>
                  </w:r>
                  <w:r>
                    <w:rPr>
                      <w:rFonts w:hint="eastAsia" w:ascii="宋体" w:hAnsi="宋体" w:eastAsia="宋体" w:cs="宋体"/>
                      <w:sz w:val="28"/>
                      <w:szCs w:val="28"/>
                    </w:rPr>
                    <w:t>硬件</w:t>
                  </w:r>
                  <w:r>
                    <w:rPr>
                      <w:rFonts w:hint="eastAsia" w:ascii="宋体" w:hAnsi="宋体" w:eastAsia="宋体" w:cs="宋体"/>
                      <w:sz w:val="28"/>
                      <w:szCs w:val="28"/>
                    </w:rPr>
                    <w:t>环境</w:t>
                  </w:r>
                </w:p>
              </w:tc>
            </w:tr>
            <w:tr w14:paraId="79C76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3" w:type="dxa"/>
                </w:tcPr>
                <w:p w14:paraId="00694D9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名称</w:t>
                  </w:r>
                </w:p>
              </w:tc>
              <w:tc>
                <w:tcPr>
                  <w:tcW w:w="851" w:type="dxa"/>
                </w:tcPr>
                <w:p w14:paraId="62D1FCC8">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数量</w:t>
                  </w:r>
                </w:p>
              </w:tc>
              <w:tc>
                <w:tcPr>
                  <w:tcW w:w="6481" w:type="dxa"/>
                </w:tcPr>
                <w:p w14:paraId="2CDB729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参数</w:t>
                  </w:r>
                </w:p>
              </w:tc>
            </w:tr>
            <w:tr w14:paraId="292290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3" w:type="dxa"/>
                </w:tcPr>
                <w:p w14:paraId="7275437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整车实训工位</w:t>
                  </w:r>
                </w:p>
              </w:tc>
              <w:tc>
                <w:tcPr>
                  <w:tcW w:w="851" w:type="dxa"/>
                </w:tcPr>
                <w:p w14:paraId="17A9AD8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rPr>
                    <w:t>个</w:t>
                  </w:r>
                </w:p>
              </w:tc>
              <w:tc>
                <w:tcPr>
                  <w:tcW w:w="6481" w:type="dxa"/>
                </w:tcPr>
                <w:p w14:paraId="63720B2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配备实车、实训常用工具、电源、摄像头、话筒、座椅等。工位为参赛选手的赛场，要求独立设备，比赛期间封闭管理。</w:t>
                  </w:r>
                </w:p>
              </w:tc>
            </w:tr>
            <w:tr w14:paraId="1E4D4C5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3" w:type="dxa"/>
                </w:tcPr>
                <w:p w14:paraId="2DFF842D">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理论参赛工位</w:t>
                  </w:r>
                </w:p>
              </w:tc>
              <w:tc>
                <w:tcPr>
                  <w:tcW w:w="851" w:type="dxa"/>
                </w:tcPr>
                <w:p w14:paraId="3E7E6B7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40个</w:t>
                  </w:r>
                </w:p>
              </w:tc>
              <w:tc>
                <w:tcPr>
                  <w:tcW w:w="6481" w:type="dxa"/>
                </w:tcPr>
                <w:p w14:paraId="12ECB7A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配备电源、网络、座椅等。工位为参赛选手的赛场，要求独立设备，比赛期间封闭管理。</w:t>
                  </w:r>
                </w:p>
              </w:tc>
            </w:tr>
            <w:tr w14:paraId="3F756A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3" w:type="dxa"/>
                </w:tcPr>
                <w:p w14:paraId="16768FEE">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计算机</w:t>
                  </w:r>
                </w:p>
              </w:tc>
              <w:tc>
                <w:tcPr>
                  <w:tcW w:w="851" w:type="dxa"/>
                </w:tcPr>
                <w:p w14:paraId="5D7C6DA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40</w:t>
                  </w:r>
                  <w:r>
                    <w:rPr>
                      <w:rFonts w:hint="eastAsia" w:ascii="宋体" w:hAnsi="宋体" w:eastAsia="宋体" w:cs="宋体"/>
                      <w:sz w:val="28"/>
                      <w:szCs w:val="28"/>
                    </w:rPr>
                    <w:t>台</w:t>
                  </w:r>
                </w:p>
              </w:tc>
              <w:tc>
                <w:tcPr>
                  <w:tcW w:w="6481" w:type="dxa"/>
                </w:tcPr>
                <w:p w14:paraId="0986C75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系统：Windows 7 / Windows 8 / Windows 10 64位系统 (或最新版本的 Service Pack)</w:t>
                  </w:r>
                </w:p>
                <w:p w14:paraId="1299B57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处理器：Intel Core i5-6400 @ 3.3 GHz</w:t>
                  </w:r>
                </w:p>
                <w:p w14:paraId="2DD24DF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显卡：NVIDIA GeForce GT 1030 或 AMD Radeon R7 450（2GB显存）</w:t>
                  </w:r>
                </w:p>
                <w:p w14:paraId="780528F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内存：8GB RAM</w:t>
                  </w:r>
                </w:p>
                <w:p w14:paraId="79013C5B">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硬盘空间：480G SSD + 1T机械硬盘</w:t>
                  </w:r>
                </w:p>
              </w:tc>
            </w:tr>
            <w:tr w14:paraId="03B39E3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3" w:type="dxa"/>
                </w:tcPr>
                <w:p w14:paraId="1693769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网络</w:t>
                  </w:r>
                </w:p>
              </w:tc>
              <w:tc>
                <w:tcPr>
                  <w:tcW w:w="851" w:type="dxa"/>
                </w:tcPr>
                <w:p w14:paraId="323941B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6481" w:type="dxa"/>
                </w:tcPr>
                <w:p w14:paraId="5999FE0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互联网畅通</w:t>
                  </w:r>
                </w:p>
              </w:tc>
            </w:tr>
            <w:tr w14:paraId="7E14E2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3" w:type="dxa"/>
                </w:tcPr>
                <w:p w14:paraId="1CC8D8D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摄像头</w:t>
                  </w:r>
                </w:p>
              </w:tc>
              <w:tc>
                <w:tcPr>
                  <w:tcW w:w="851" w:type="dxa"/>
                </w:tcPr>
                <w:p w14:paraId="60330FB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6481" w:type="dxa"/>
                </w:tcPr>
                <w:p w14:paraId="21EF8D8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按照实际工位设置</w:t>
                  </w:r>
                </w:p>
              </w:tc>
            </w:tr>
            <w:tr w14:paraId="38BC65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33" w:type="dxa"/>
                </w:tcPr>
                <w:p w14:paraId="0237029E">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麦克</w:t>
                  </w:r>
                </w:p>
              </w:tc>
              <w:tc>
                <w:tcPr>
                  <w:tcW w:w="851" w:type="dxa"/>
                </w:tcPr>
                <w:p w14:paraId="136C288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6481" w:type="dxa"/>
                </w:tcPr>
                <w:p w14:paraId="375AFD8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按照实际工位设置</w:t>
                  </w:r>
                </w:p>
              </w:tc>
            </w:tr>
          </w:tbl>
          <w:p w14:paraId="3B30792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（二）软件环境</w:t>
            </w:r>
          </w:p>
          <w:p w14:paraId="4DA5159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参赛院校提供网络环境。比赛软件由技术支持单位提供。</w:t>
            </w:r>
          </w:p>
          <w:tbl>
            <w:tblPr>
              <w:tblStyle w:val="7"/>
              <w:tblW w:w="7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5892"/>
            </w:tblGrid>
            <w:tr w14:paraId="3F82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42" w:type="dxa"/>
                  <w:shd w:val="clear" w:color="auto" w:fill="auto"/>
                </w:tcPr>
                <w:p w14:paraId="513A8A8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类别</w:t>
                  </w:r>
                </w:p>
              </w:tc>
              <w:tc>
                <w:tcPr>
                  <w:tcW w:w="5892" w:type="dxa"/>
                  <w:shd w:val="clear" w:color="auto" w:fill="auto"/>
                </w:tcPr>
                <w:p w14:paraId="4DE0AE1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描述</w:t>
                  </w:r>
                </w:p>
              </w:tc>
            </w:tr>
            <w:tr w14:paraId="0846D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642" w:type="dxa"/>
                  <w:shd w:val="clear" w:color="auto" w:fill="auto"/>
                </w:tcPr>
                <w:p w14:paraId="0B8C31F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软件</w:t>
                  </w:r>
                </w:p>
              </w:tc>
              <w:tc>
                <w:tcPr>
                  <w:tcW w:w="5892" w:type="dxa"/>
                  <w:shd w:val="clear" w:color="auto" w:fill="auto"/>
                </w:tcPr>
                <w:p w14:paraId="1C65CBC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上海景格云立方考核平台</w:t>
                  </w:r>
                </w:p>
              </w:tc>
            </w:tr>
          </w:tbl>
          <w:p w14:paraId="7A89FE5B">
            <w:pPr>
              <w:keepNext w:val="0"/>
              <w:keepLines w:val="0"/>
              <w:pageBreakBefore w:val="0"/>
              <w:kinsoku/>
              <w:wordWrap/>
              <w:overflowPunct/>
              <w:topLinePunct w:val="0"/>
              <w:autoSpaceDE/>
              <w:autoSpaceDN/>
              <w:bidi w:val="0"/>
              <w:adjustRightInd w:val="0"/>
              <w:snapToGrid w:val="0"/>
              <w:spacing w:line="440" w:lineRule="exact"/>
              <w:ind w:right="210" w:rightChars="100" w:firstLine="0" w:firstLineChars="0"/>
              <w:jc w:val="left"/>
              <w:textAlignment w:val="auto"/>
              <w:rPr>
                <w:rFonts w:hint="eastAsia" w:ascii="宋体" w:hAnsi="宋体" w:eastAsia="宋体" w:cs="宋体"/>
                <w:b/>
                <w:sz w:val="28"/>
                <w:szCs w:val="28"/>
              </w:rPr>
            </w:pPr>
          </w:p>
        </w:tc>
      </w:tr>
    </w:tbl>
    <w:tbl>
      <w:tblPr>
        <w:tblStyle w:val="8"/>
        <w:tblW w:w="5554" w:type="pct"/>
        <w:tblInd w:w="-43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90"/>
        <w:gridCol w:w="4326"/>
        <w:gridCol w:w="1740"/>
        <w:gridCol w:w="2310"/>
      </w:tblGrid>
      <w:tr w14:paraId="68C822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vAlign w:val="center"/>
          </w:tcPr>
          <w:p w14:paraId="22E9025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2285" w:type="pct"/>
            <w:vAlign w:val="center"/>
          </w:tcPr>
          <w:p w14:paraId="600A94D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技术平台</w:t>
            </w:r>
          </w:p>
        </w:tc>
        <w:tc>
          <w:tcPr>
            <w:tcW w:w="919" w:type="pct"/>
            <w:vAlign w:val="center"/>
          </w:tcPr>
          <w:p w14:paraId="10FE18BD">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数量</w:t>
            </w:r>
          </w:p>
        </w:tc>
        <w:tc>
          <w:tcPr>
            <w:tcW w:w="1220" w:type="pct"/>
          </w:tcPr>
          <w:p w14:paraId="7F07C97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备注</w:t>
            </w:r>
          </w:p>
        </w:tc>
      </w:tr>
      <w:tr w14:paraId="2A1E38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60EE22EB">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2285" w:type="pct"/>
          </w:tcPr>
          <w:p w14:paraId="2ABE78C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智能网联低速车</w:t>
            </w:r>
          </w:p>
        </w:tc>
        <w:tc>
          <w:tcPr>
            <w:tcW w:w="919" w:type="pct"/>
          </w:tcPr>
          <w:p w14:paraId="682C10E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1220" w:type="pct"/>
          </w:tcPr>
          <w:p w14:paraId="7D90767B">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0A5712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6464D5A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2</w:t>
            </w:r>
          </w:p>
        </w:tc>
        <w:tc>
          <w:tcPr>
            <w:tcW w:w="2285" w:type="pct"/>
          </w:tcPr>
          <w:p w14:paraId="0B650BF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传感器装调支架</w:t>
            </w:r>
          </w:p>
        </w:tc>
        <w:tc>
          <w:tcPr>
            <w:tcW w:w="919" w:type="pct"/>
          </w:tcPr>
          <w:p w14:paraId="3E87A65E">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1220" w:type="pct"/>
            <w:vMerge w:val="restart"/>
            <w:vAlign w:val="center"/>
          </w:tcPr>
          <w:p w14:paraId="7506361E">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已集成安装在智能网联低速车上</w:t>
            </w:r>
          </w:p>
        </w:tc>
      </w:tr>
      <w:tr w14:paraId="075BAD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4960931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3</w:t>
            </w:r>
          </w:p>
        </w:tc>
        <w:tc>
          <w:tcPr>
            <w:tcW w:w="2285" w:type="pct"/>
          </w:tcPr>
          <w:p w14:paraId="18F7142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计算单元</w:t>
            </w:r>
          </w:p>
        </w:tc>
        <w:tc>
          <w:tcPr>
            <w:tcW w:w="919" w:type="pct"/>
          </w:tcPr>
          <w:p w14:paraId="59CBC96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1220" w:type="pct"/>
            <w:vMerge w:val="continue"/>
          </w:tcPr>
          <w:p w14:paraId="79FA034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77A4A9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630CAC3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w:t>
            </w:r>
          </w:p>
        </w:tc>
        <w:tc>
          <w:tcPr>
            <w:tcW w:w="2285" w:type="pct"/>
          </w:tcPr>
          <w:p w14:paraId="783797C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激光雷达</w:t>
            </w:r>
          </w:p>
        </w:tc>
        <w:tc>
          <w:tcPr>
            <w:tcW w:w="919" w:type="pct"/>
          </w:tcPr>
          <w:p w14:paraId="07C70A1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1220" w:type="pct"/>
            <w:vMerge w:val="continue"/>
          </w:tcPr>
          <w:p w14:paraId="79DB930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5A0AB6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03007BB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5</w:t>
            </w:r>
          </w:p>
        </w:tc>
        <w:tc>
          <w:tcPr>
            <w:tcW w:w="2285" w:type="pct"/>
          </w:tcPr>
          <w:p w14:paraId="4497F07B">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单目摄像头</w:t>
            </w:r>
          </w:p>
        </w:tc>
        <w:tc>
          <w:tcPr>
            <w:tcW w:w="919" w:type="pct"/>
          </w:tcPr>
          <w:p w14:paraId="13F16AF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rPr>
              <w:t>个/工位</w:t>
            </w:r>
          </w:p>
        </w:tc>
        <w:tc>
          <w:tcPr>
            <w:tcW w:w="1220" w:type="pct"/>
            <w:vMerge w:val="continue"/>
          </w:tcPr>
          <w:p w14:paraId="2FA14CC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41BD96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67FB8DF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6</w:t>
            </w:r>
          </w:p>
        </w:tc>
        <w:tc>
          <w:tcPr>
            <w:tcW w:w="2285" w:type="pct"/>
          </w:tcPr>
          <w:p w14:paraId="3881868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导航定位模块</w:t>
            </w:r>
          </w:p>
        </w:tc>
        <w:tc>
          <w:tcPr>
            <w:tcW w:w="919" w:type="pct"/>
          </w:tcPr>
          <w:p w14:paraId="5C13E94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1套/工位</w:t>
            </w:r>
          </w:p>
        </w:tc>
        <w:tc>
          <w:tcPr>
            <w:tcW w:w="1220" w:type="pct"/>
            <w:vMerge w:val="continue"/>
          </w:tcPr>
          <w:p w14:paraId="02E90DA8">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4CB70D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214C86B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7</w:t>
            </w:r>
          </w:p>
        </w:tc>
        <w:tc>
          <w:tcPr>
            <w:tcW w:w="2285" w:type="pct"/>
          </w:tcPr>
          <w:p w14:paraId="0FD7D6F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超声波雷达</w:t>
            </w:r>
          </w:p>
        </w:tc>
        <w:tc>
          <w:tcPr>
            <w:tcW w:w="919" w:type="pct"/>
          </w:tcPr>
          <w:p w14:paraId="665FABE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套/工位</w:t>
            </w:r>
          </w:p>
        </w:tc>
        <w:tc>
          <w:tcPr>
            <w:tcW w:w="1220" w:type="pct"/>
            <w:vMerge w:val="continue"/>
          </w:tcPr>
          <w:p w14:paraId="7F53CB9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6C495DD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257D268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8</w:t>
            </w:r>
          </w:p>
        </w:tc>
        <w:tc>
          <w:tcPr>
            <w:tcW w:w="2285" w:type="pct"/>
          </w:tcPr>
          <w:p w14:paraId="4D3B213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路由器</w:t>
            </w:r>
          </w:p>
        </w:tc>
        <w:tc>
          <w:tcPr>
            <w:tcW w:w="919" w:type="pct"/>
          </w:tcPr>
          <w:p w14:paraId="7075381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1220" w:type="pct"/>
            <w:vMerge w:val="continue"/>
          </w:tcPr>
          <w:p w14:paraId="5BF54AF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4B41599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55A2BE5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9</w:t>
            </w:r>
          </w:p>
        </w:tc>
        <w:tc>
          <w:tcPr>
            <w:tcW w:w="2285" w:type="pct"/>
          </w:tcPr>
          <w:p w14:paraId="5F6D5F3B">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工业显示屏</w:t>
            </w:r>
          </w:p>
        </w:tc>
        <w:tc>
          <w:tcPr>
            <w:tcW w:w="919" w:type="pct"/>
          </w:tcPr>
          <w:p w14:paraId="01EB40C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1220" w:type="pct"/>
            <w:vMerge w:val="continue"/>
          </w:tcPr>
          <w:p w14:paraId="39213D8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r w14:paraId="5A79259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6" w:type="pct"/>
          </w:tcPr>
          <w:p w14:paraId="251659D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10</w:t>
            </w:r>
          </w:p>
        </w:tc>
        <w:tc>
          <w:tcPr>
            <w:tcW w:w="2285" w:type="pct"/>
          </w:tcPr>
          <w:p w14:paraId="65811CC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车辆遥控器</w:t>
            </w:r>
          </w:p>
        </w:tc>
        <w:tc>
          <w:tcPr>
            <w:tcW w:w="919" w:type="pct"/>
          </w:tcPr>
          <w:p w14:paraId="2539639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1220" w:type="pct"/>
            <w:vMerge w:val="continue"/>
          </w:tcPr>
          <w:p w14:paraId="25AF8B2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r>
    </w:tbl>
    <w:p w14:paraId="29BBB85B">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十三、赛项安全</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180"/>
      </w:tblGrid>
      <w:tr w14:paraId="1ABDC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180" w:type="dxa"/>
            <w:tcBorders>
              <w:top w:val="single" w:color="000000" w:sz="2" w:space="0"/>
              <w:left w:val="single" w:color="000000" w:sz="2" w:space="0"/>
              <w:right w:val="single" w:color="000000" w:sz="2" w:space="0"/>
            </w:tcBorders>
          </w:tcPr>
          <w:p w14:paraId="219C455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赛事安全是赛项一切工作顺利开展的先决条件，是赛事筹备和运行工作必须考虑的核心问题。赛项执委会采取切实有效措施保证大赛期间参赛选手、指导教师、工作人员等人员的人身安全。</w:t>
            </w:r>
          </w:p>
          <w:p w14:paraId="031BE82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（一）比赛环境</w:t>
            </w:r>
          </w:p>
          <w:p w14:paraId="60A4FA3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1.赛场的布置，赛场内的器材、设备应符合国家有关安全规定。赛前进行赛场全负荷模拟测试，以发现可能出现的问题，及时排除安全隐患。</w:t>
            </w:r>
          </w:p>
          <w:p w14:paraId="341F69E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2.赛场周围要设立警戒线，无关人员不得进入。比赛现场内应参照相关职业岗位的要求为选手提供必要的劳动保护。</w:t>
            </w:r>
          </w:p>
          <w:p w14:paraId="342F42B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4.参赛选手、赛事裁判、工作人员进入赛场区域内。赛项需要配置安检设备对进入赛场人员进行安检。</w:t>
            </w:r>
          </w:p>
          <w:p w14:paraId="039956F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5.赛项工位、仲裁室、评分室需要配置高清摄像，对赛事比赛时间段进行全程录像。</w:t>
            </w:r>
          </w:p>
          <w:p w14:paraId="70C9FD8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rPr>
              <w:t>自动驾驶功能道路测试前准备</w:t>
            </w:r>
          </w:p>
          <w:p w14:paraId="1011474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室内，每个实操工位布置工作台和智能网联低速车，有2</w:t>
            </w:r>
            <w:r>
              <w:rPr>
                <w:rFonts w:hint="eastAsia" w:ascii="宋体" w:hAnsi="宋体" w:eastAsia="宋体" w:cs="宋体"/>
                <w:sz w:val="28"/>
                <w:szCs w:val="28"/>
              </w:rPr>
              <w:t>20V</w:t>
            </w:r>
            <w:r>
              <w:rPr>
                <w:rFonts w:hint="eastAsia" w:ascii="宋体" w:hAnsi="宋体" w:eastAsia="宋体" w:cs="宋体"/>
                <w:sz w:val="28"/>
                <w:szCs w:val="28"/>
              </w:rPr>
              <w:t>电源接入，带一个插线板。工位大小为3m*</w:t>
            </w:r>
            <w:r>
              <w:rPr>
                <w:rFonts w:hint="eastAsia" w:ascii="宋体" w:hAnsi="宋体" w:eastAsia="宋体" w:cs="宋体"/>
                <w:sz w:val="28"/>
                <w:szCs w:val="28"/>
              </w:rPr>
              <w:t>3</w:t>
            </w:r>
            <w:r>
              <w:rPr>
                <w:rFonts w:hint="eastAsia" w:ascii="宋体" w:hAnsi="宋体" w:eastAsia="宋体" w:cs="宋体"/>
                <w:sz w:val="28"/>
                <w:szCs w:val="28"/>
              </w:rPr>
              <w:t>m。</w:t>
            </w:r>
          </w:p>
          <w:p w14:paraId="01E7E05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7.自动驾驶功能道路测试</w:t>
            </w:r>
          </w:p>
          <w:p w14:paraId="6C85381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室外，非雨雪天气。测试道路四周无大建筑物遮挡。测试道路带转向路口，总长约70米，道路中部署2个障碍物。按图示画好起始线、终点线、部署2个障碍物、人行横道、泊车位。</w:t>
            </w:r>
          </w:p>
          <w:p w14:paraId="0ED3664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drawing>
                <wp:inline distT="0" distB="0" distL="0" distR="0">
                  <wp:extent cx="5274310" cy="257746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2577465"/>
                          </a:xfrm>
                          <a:prstGeom prst="rect">
                            <a:avLst/>
                          </a:prstGeom>
                        </pic:spPr>
                      </pic:pic>
                    </a:graphicData>
                  </a:graphic>
                </wp:inline>
              </w:drawing>
            </w:r>
          </w:p>
          <w:p w14:paraId="5F07338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8.配套工具仪器:</w:t>
            </w:r>
          </w:p>
          <w:tbl>
            <w:tblPr>
              <w:tblStyle w:val="8"/>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78"/>
              <w:gridCol w:w="2135"/>
              <w:gridCol w:w="1523"/>
              <w:gridCol w:w="1525"/>
              <w:gridCol w:w="3103"/>
            </w:tblGrid>
            <w:tr w14:paraId="50DA95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79" w:type="pct"/>
                  <w:vAlign w:val="center"/>
                </w:tcPr>
                <w:p w14:paraId="32502F9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165" w:type="pct"/>
                  <w:vAlign w:val="center"/>
                </w:tcPr>
                <w:p w14:paraId="493F59A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名称</w:t>
                  </w:r>
                </w:p>
              </w:tc>
              <w:tc>
                <w:tcPr>
                  <w:tcW w:w="831" w:type="pct"/>
                  <w:vAlign w:val="center"/>
                </w:tcPr>
                <w:p w14:paraId="1E5F1750">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数量</w:t>
                  </w:r>
                </w:p>
              </w:tc>
              <w:tc>
                <w:tcPr>
                  <w:tcW w:w="832" w:type="pct"/>
                  <w:vAlign w:val="center"/>
                </w:tcPr>
                <w:p w14:paraId="410E220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规格</w:t>
                  </w:r>
                </w:p>
              </w:tc>
              <w:tc>
                <w:tcPr>
                  <w:tcW w:w="1693" w:type="pct"/>
                </w:tcPr>
                <w:p w14:paraId="563BD802">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主要参数</w:t>
                  </w:r>
                </w:p>
              </w:tc>
            </w:tr>
            <w:tr w14:paraId="35765D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79" w:type="pct"/>
                  <w:vAlign w:val="center"/>
                </w:tcPr>
                <w:p w14:paraId="6CA3421F">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1</w:t>
                  </w:r>
                </w:p>
              </w:tc>
              <w:tc>
                <w:tcPr>
                  <w:tcW w:w="1165" w:type="pct"/>
                  <w:vAlign w:val="center"/>
                </w:tcPr>
                <w:p w14:paraId="4E2CA30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数字万用表</w:t>
                  </w:r>
                </w:p>
              </w:tc>
              <w:tc>
                <w:tcPr>
                  <w:tcW w:w="831" w:type="pct"/>
                  <w:vAlign w:val="center"/>
                </w:tcPr>
                <w:p w14:paraId="217863C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832" w:type="pct"/>
                  <w:vAlign w:val="center"/>
                </w:tcPr>
                <w:p w14:paraId="229856E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优利德</w:t>
                  </w:r>
                </w:p>
                <w:p w14:paraId="494BC48C">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UT139C</w:t>
                  </w:r>
                </w:p>
              </w:tc>
              <w:tc>
                <w:tcPr>
                  <w:tcW w:w="1693" w:type="pct"/>
                  <w:vAlign w:val="center"/>
                </w:tcPr>
                <w:p w14:paraId="7AC011C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手动量程万用表</w:t>
                  </w:r>
                </w:p>
              </w:tc>
            </w:tr>
            <w:tr w14:paraId="5A5FA2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79" w:type="pct"/>
                  <w:vAlign w:val="center"/>
                </w:tcPr>
                <w:p w14:paraId="18DC9544">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2</w:t>
                  </w:r>
                </w:p>
              </w:tc>
              <w:tc>
                <w:tcPr>
                  <w:tcW w:w="1165" w:type="pct"/>
                  <w:vAlign w:val="center"/>
                </w:tcPr>
                <w:p w14:paraId="61570780">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卷尺</w:t>
                  </w:r>
                </w:p>
              </w:tc>
              <w:tc>
                <w:tcPr>
                  <w:tcW w:w="831" w:type="pct"/>
                  <w:vAlign w:val="center"/>
                </w:tcPr>
                <w:p w14:paraId="62C7A35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1套/工位</w:t>
                  </w:r>
                </w:p>
              </w:tc>
              <w:tc>
                <w:tcPr>
                  <w:tcW w:w="832" w:type="pct"/>
                  <w:vAlign w:val="center"/>
                </w:tcPr>
                <w:p w14:paraId="1FD3669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世达</w:t>
                  </w:r>
                </w:p>
                <w:p w14:paraId="0C13FBCA">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91314A</w:t>
                  </w:r>
                </w:p>
              </w:tc>
              <w:tc>
                <w:tcPr>
                  <w:tcW w:w="1693" w:type="pct"/>
                  <w:vAlign w:val="center"/>
                </w:tcPr>
                <w:p w14:paraId="75AF1FB0">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p>
              </w:tc>
            </w:tr>
            <w:tr w14:paraId="55D75D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79" w:type="pct"/>
                  <w:vAlign w:val="center"/>
                </w:tcPr>
                <w:p w14:paraId="21F12E9A">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3</w:t>
                  </w:r>
                </w:p>
              </w:tc>
              <w:tc>
                <w:tcPr>
                  <w:tcW w:w="1165" w:type="pct"/>
                  <w:vAlign w:val="center"/>
                </w:tcPr>
                <w:p w14:paraId="3C959CA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网线检测仪</w:t>
                  </w:r>
                </w:p>
              </w:tc>
              <w:tc>
                <w:tcPr>
                  <w:tcW w:w="831" w:type="pct"/>
                  <w:vAlign w:val="center"/>
                </w:tcPr>
                <w:p w14:paraId="52A813FA">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1个/工位</w:t>
                  </w:r>
                </w:p>
              </w:tc>
              <w:tc>
                <w:tcPr>
                  <w:tcW w:w="832" w:type="pct"/>
                  <w:vAlign w:val="center"/>
                </w:tcPr>
                <w:p w14:paraId="15133F1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优利德</w:t>
                  </w:r>
                </w:p>
                <w:p w14:paraId="1E67B34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UT681L</w:t>
                  </w:r>
                </w:p>
              </w:tc>
              <w:tc>
                <w:tcPr>
                  <w:tcW w:w="1693" w:type="pct"/>
                  <w:vAlign w:val="center"/>
                </w:tcPr>
                <w:p w14:paraId="0B54F8B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RJ45网络线，RJ11电话线对线功能</w:t>
                  </w:r>
                </w:p>
              </w:tc>
            </w:tr>
            <w:tr w14:paraId="038FED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5" w:hRule="atLeast"/>
              </w:trPr>
              <w:tc>
                <w:tcPr>
                  <w:tcW w:w="479" w:type="pct"/>
                  <w:vAlign w:val="center"/>
                </w:tcPr>
                <w:p w14:paraId="423D0834">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4</w:t>
                  </w:r>
                </w:p>
              </w:tc>
              <w:tc>
                <w:tcPr>
                  <w:tcW w:w="1165" w:type="pct"/>
                  <w:vAlign w:val="center"/>
                </w:tcPr>
                <w:p w14:paraId="3A70783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无线键鼠</w:t>
                  </w:r>
                </w:p>
              </w:tc>
              <w:tc>
                <w:tcPr>
                  <w:tcW w:w="831" w:type="pct"/>
                  <w:vAlign w:val="center"/>
                </w:tcPr>
                <w:p w14:paraId="07C0170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1套/工位</w:t>
                  </w:r>
                </w:p>
              </w:tc>
              <w:tc>
                <w:tcPr>
                  <w:tcW w:w="832" w:type="pct"/>
                  <w:vAlign w:val="center"/>
                </w:tcPr>
                <w:p w14:paraId="6F40C4A7">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K400Plus</w:t>
                  </w:r>
                </w:p>
              </w:tc>
              <w:tc>
                <w:tcPr>
                  <w:tcW w:w="1693" w:type="pct"/>
                  <w:vAlign w:val="center"/>
                </w:tcPr>
                <w:p w14:paraId="22C53BB2">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键鼠一体，带无线触控触摸板</w:t>
                  </w:r>
                </w:p>
              </w:tc>
            </w:tr>
            <w:tr w14:paraId="679EC1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5" w:hRule="atLeast"/>
              </w:trPr>
              <w:tc>
                <w:tcPr>
                  <w:tcW w:w="479" w:type="pct"/>
                  <w:vAlign w:val="center"/>
                </w:tcPr>
                <w:p w14:paraId="4393B581">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5</w:t>
                  </w:r>
                </w:p>
              </w:tc>
              <w:tc>
                <w:tcPr>
                  <w:tcW w:w="1165" w:type="pct"/>
                  <w:vAlign w:val="center"/>
                </w:tcPr>
                <w:p w14:paraId="14A6DFF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工作台</w:t>
                  </w:r>
                </w:p>
              </w:tc>
              <w:tc>
                <w:tcPr>
                  <w:tcW w:w="831" w:type="pct"/>
                  <w:vAlign w:val="center"/>
                </w:tcPr>
                <w:p w14:paraId="60EAF93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1套/工位</w:t>
                  </w:r>
                </w:p>
              </w:tc>
              <w:tc>
                <w:tcPr>
                  <w:tcW w:w="832" w:type="pct"/>
                  <w:vAlign w:val="center"/>
                </w:tcPr>
                <w:p w14:paraId="3167C82A">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p>
              </w:tc>
              <w:tc>
                <w:tcPr>
                  <w:tcW w:w="1693" w:type="pct"/>
                  <w:vAlign w:val="center"/>
                </w:tcPr>
                <w:p w14:paraId="7576BF8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p>
              </w:tc>
            </w:tr>
          </w:tbl>
          <w:p w14:paraId="6A85267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（二）安全防护要求</w:t>
            </w:r>
          </w:p>
          <w:p w14:paraId="112160F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w:t>
            </w:r>
            <w:r>
              <w:rPr>
                <w:rFonts w:hint="eastAsia" w:ascii="宋体" w:hAnsi="宋体" w:eastAsia="宋体" w:cs="宋体"/>
                <w:sz w:val="28"/>
                <w:szCs w:val="28"/>
              </w:rPr>
              <w:t>裁判员和选手在比赛场地内必须一直穿戴工作装、劳保鞋。劳保鞋自带，鞋头部必须有铁护板。</w:t>
            </w:r>
          </w:p>
          <w:p w14:paraId="4891FDB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rPr>
              <w:t>.</w:t>
            </w:r>
            <w:r>
              <w:rPr>
                <w:rFonts w:hint="eastAsia" w:ascii="宋体" w:hAnsi="宋体" w:eastAsia="宋体" w:cs="宋体"/>
                <w:sz w:val="28"/>
                <w:szCs w:val="28"/>
              </w:rPr>
              <w:t>选手操作过程中有可能造成头部伤害时应佩戴工作帽。</w:t>
            </w:r>
          </w:p>
          <w:p w14:paraId="23BEED0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rPr>
              <w:t>.</w:t>
            </w:r>
            <w:r>
              <w:rPr>
                <w:rFonts w:hint="eastAsia" w:ascii="宋体" w:hAnsi="宋体" w:eastAsia="宋体" w:cs="宋体"/>
                <w:sz w:val="28"/>
                <w:szCs w:val="28"/>
              </w:rPr>
              <w:t>选手在操作过程中有可能造成手部伤害时应佩戴布手套或线手套，当手接触有防静电要求设备设施时需佩戴防静电手套。</w:t>
            </w:r>
          </w:p>
          <w:p w14:paraId="6E9740E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rPr>
              <w:t>.</w:t>
            </w:r>
            <w:r>
              <w:rPr>
                <w:rFonts w:hint="eastAsia" w:ascii="宋体" w:hAnsi="宋体" w:eastAsia="宋体" w:cs="宋体"/>
                <w:sz w:val="28"/>
                <w:szCs w:val="28"/>
              </w:rPr>
              <w:t>裁判员要提醒选手注意操作安全，对选手的违规操作或可能引发人身伤害、设备损坏等事故的操作应立即制止并向现场负责人报告。</w:t>
            </w:r>
          </w:p>
          <w:p w14:paraId="3BA22D0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（三）道路测试安全要求</w:t>
            </w:r>
          </w:p>
          <w:p w14:paraId="57A5F4C1">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室外测试道路边沿1米远的周边设立警戒线，禁止无关人员进入测试道路区域，竞赛过程中一旦有人进入测试道路区域，立即暂停竞赛。</w:t>
            </w:r>
          </w:p>
          <w:p w14:paraId="14AB651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（四）场地消防及逃生要求</w:t>
            </w:r>
          </w:p>
          <w:p w14:paraId="0E51AFB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w:t>
            </w:r>
            <w:r>
              <w:rPr>
                <w:rFonts w:hint="eastAsia" w:ascii="宋体" w:hAnsi="宋体" w:eastAsia="宋体" w:cs="宋体"/>
                <w:sz w:val="28"/>
                <w:szCs w:val="28"/>
              </w:rPr>
              <w:t>比赛场地内必须悬挂“紧急情况安全疏散图”，并有醒目的“安全出口”指示牌。</w:t>
            </w:r>
          </w:p>
          <w:p w14:paraId="6ECEFE8E">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rPr>
              <w:t>.</w:t>
            </w:r>
            <w:r>
              <w:rPr>
                <w:rFonts w:hint="eastAsia" w:ascii="宋体" w:hAnsi="宋体" w:eastAsia="宋体" w:cs="宋体"/>
                <w:sz w:val="28"/>
                <w:szCs w:val="28"/>
              </w:rPr>
              <w:t>比赛场地内应留有至少1.5米宽的“安全疏散通道”，地面画有清楚的“安全通道标识线”。</w:t>
            </w:r>
          </w:p>
          <w:p w14:paraId="16089030">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rPr>
              <w:t>.</w:t>
            </w:r>
            <w:r>
              <w:rPr>
                <w:rFonts w:hint="eastAsia" w:ascii="宋体" w:hAnsi="宋体" w:eastAsia="宋体" w:cs="宋体"/>
                <w:sz w:val="28"/>
                <w:szCs w:val="28"/>
              </w:rPr>
              <w:t>比赛场地内必须配备足够的灭火器，保证每一个比赛工位至少有一个灭火器。</w:t>
            </w:r>
          </w:p>
          <w:p w14:paraId="1A250F04">
            <w:pPr>
              <w:keepNext w:val="0"/>
              <w:keepLines w:val="0"/>
              <w:pageBreakBefore w:val="0"/>
              <w:kinsoku/>
              <w:wordWrap/>
              <w:overflowPunct/>
              <w:topLinePunct w:val="0"/>
              <w:autoSpaceDE/>
              <w:autoSpaceDN/>
              <w:bidi w:val="0"/>
              <w:adjustRightInd w:val="0"/>
              <w:snapToGrid w:val="0"/>
              <w:spacing w:line="440" w:lineRule="exact"/>
              <w:ind w:right="210" w:rightChars="100" w:firstLine="0" w:firstLineChars="0"/>
              <w:jc w:val="left"/>
              <w:textAlignment w:val="auto"/>
              <w:rPr>
                <w:rFonts w:hint="eastAsia" w:ascii="宋体" w:hAnsi="宋体" w:eastAsia="宋体" w:cs="宋体"/>
                <w:b/>
                <w:sz w:val="28"/>
                <w:szCs w:val="28"/>
              </w:rPr>
            </w:pPr>
          </w:p>
        </w:tc>
      </w:tr>
    </w:tbl>
    <w:p w14:paraId="7E5BC967">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十四、成绩评定</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73ECA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3" w:hRule="atLeast"/>
          <w:jc w:val="center"/>
        </w:trPr>
        <w:tc>
          <w:tcPr>
            <w:tcW w:w="9180" w:type="dxa"/>
            <w:tcBorders>
              <w:top w:val="single" w:color="000000" w:sz="2" w:space="0"/>
              <w:left w:val="single" w:color="000000" w:sz="2" w:space="0"/>
              <w:bottom w:val="single" w:color="000000" w:sz="2" w:space="0"/>
              <w:right w:val="single" w:color="000000" w:sz="2" w:space="0"/>
            </w:tcBorders>
          </w:tcPr>
          <w:p w14:paraId="224A726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（一）评分标准</w:t>
            </w:r>
          </w:p>
          <w:p w14:paraId="1D128D6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1.评分标准的制订原则</w:t>
            </w:r>
          </w:p>
          <w:p w14:paraId="6BC6F7DD">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赛项裁判组负责赛项成绩评定工作。评分标准以“公平、公正、公开”为原则，采用现场过程评分和工单结果评分两种方式。</w:t>
            </w:r>
          </w:p>
          <w:p w14:paraId="4B1FBE8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2.组织分工</w:t>
            </w:r>
          </w:p>
          <w:p w14:paraId="1BDC90B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成立由检录组、裁判组、监督组和仲裁组组成的成绩管理组织机构。要求裁判人员的类别来自汽车企业、非参赛院校、从事汽车智能网联岗位及汽车智能网联教学。</w:t>
            </w:r>
          </w:p>
          <w:p w14:paraId="77A8903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具体要求与分工如下：</w:t>
            </w:r>
          </w:p>
          <w:p w14:paraId="18B2C3F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（1）检录工作人员负责对参赛选手进行点名登记、身份核对等工作。检录工作由赛项承办院校工作人员承担。</w:t>
            </w:r>
          </w:p>
          <w:p w14:paraId="1D139C3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（2）裁判组实行“裁判长负责制”，全面负责赛项的裁判管理工作并处理比赛中出现的争议问题。负责组织比赛，对竞赛模块的试题与评分标准认真领会并向裁判培训解释。</w:t>
            </w:r>
          </w:p>
          <w:p w14:paraId="145BBAA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（3）裁判报到后实行封闭管理。每天比赛前1小时通过抽签方式，初步确定裁判执裁工位，裁判不能执裁同省参赛队。</w:t>
            </w:r>
          </w:p>
          <w:p w14:paraId="1E144AA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（4）裁判员根据比赛需要分为加密裁判、现场裁判、评分裁判。</w:t>
            </w:r>
          </w:p>
          <w:p w14:paraId="0B807BB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加密裁判：负责组织参赛选手抽签，对参赛队信息、抽签号等进行加密；各赛项加密裁判由赛区执委会根据赛项要求确定。同一赛项的加密裁判来自不同单位，且不得参与评分、统分和核分工作。</w:t>
            </w:r>
          </w:p>
          <w:p w14:paraId="5B16611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现场裁判：按规定做好赛场记录，维护赛场纪律，评判参赛选手的现场作业情况。</w:t>
            </w:r>
          </w:p>
          <w:p w14:paraId="04985C4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评分裁判：负责对参赛选手的报告单按赛项评分标准进行评定，并负责核分和统分工作。</w:t>
            </w:r>
          </w:p>
          <w:p w14:paraId="6418888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（5）监督组对裁判组的工作进行全程监督，并对竞赛成绩抽检复核。</w:t>
            </w:r>
          </w:p>
          <w:p w14:paraId="1C3A652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（6）仲裁组负责接受由参赛队领队提出的对裁判结果的申诉，组织复议并及时反馈复议结果。</w:t>
            </w:r>
          </w:p>
          <w:p w14:paraId="32820BF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（7）现场过程评分</w:t>
            </w:r>
          </w:p>
          <w:p w14:paraId="4211E11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主要对应任务工单的“职业素养与安全”部分和选手实操过程的操作要点评分，至少由2名现场评分裁判根据评分细则共同对选手进行现场评分；若现场评分裁判对选手的评分有分歧时，由现场裁判长裁决。</w:t>
            </w:r>
          </w:p>
          <w:p w14:paraId="42F416F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（8）工单结果评分</w:t>
            </w:r>
          </w:p>
          <w:p w14:paraId="292156F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工单评分对应选手任务工单的填写情况，裁判根据参赛选手填写工单的结果质量，依据评分细则评分。</w:t>
            </w:r>
          </w:p>
          <w:tbl>
            <w:tblPr>
              <w:tblStyle w:val="8"/>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89"/>
              <w:gridCol w:w="4421"/>
              <w:gridCol w:w="3255"/>
            </w:tblGrid>
            <w:tr w14:paraId="1B140E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224" w:type="pct"/>
                  <w:gridSpan w:val="2"/>
                  <w:vAlign w:val="center"/>
                </w:tcPr>
                <w:p w14:paraId="7F11669D">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评分项</w:t>
                  </w:r>
                </w:p>
              </w:tc>
              <w:tc>
                <w:tcPr>
                  <w:tcW w:w="1776" w:type="pct"/>
                  <w:vAlign w:val="center"/>
                </w:tcPr>
                <w:p w14:paraId="599A9A08">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评分方式</w:t>
                  </w:r>
                </w:p>
              </w:tc>
            </w:tr>
            <w:tr w14:paraId="63BB5B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Align w:val="center"/>
                </w:tcPr>
                <w:p w14:paraId="6B821BA4">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职业素养</w:t>
                  </w:r>
                </w:p>
              </w:tc>
              <w:tc>
                <w:tcPr>
                  <w:tcW w:w="2412" w:type="pct"/>
                </w:tcPr>
                <w:p w14:paraId="796B44A8">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职业素养与安全</w:t>
                  </w:r>
                </w:p>
              </w:tc>
              <w:tc>
                <w:tcPr>
                  <w:tcW w:w="1776" w:type="pct"/>
                  <w:vAlign w:val="center"/>
                </w:tcPr>
                <w:p w14:paraId="2335D86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w:t>
                  </w:r>
                </w:p>
              </w:tc>
            </w:tr>
            <w:tr w14:paraId="01EB8A1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restart"/>
                  <w:vAlign w:val="center"/>
                </w:tcPr>
                <w:p w14:paraId="25BDC1C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作业过程</w:t>
                  </w:r>
                </w:p>
              </w:tc>
              <w:tc>
                <w:tcPr>
                  <w:tcW w:w="2412" w:type="pct"/>
                  <w:vAlign w:val="center"/>
                </w:tcPr>
                <w:p w14:paraId="7BBEF3B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整车状况及工具检查</w:t>
                  </w:r>
                </w:p>
              </w:tc>
              <w:tc>
                <w:tcPr>
                  <w:tcW w:w="1776" w:type="pct"/>
                  <w:vAlign w:val="center"/>
                </w:tcPr>
                <w:p w14:paraId="67995F5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现场评分、工单评分</w:t>
                  </w:r>
                </w:p>
              </w:tc>
            </w:tr>
            <w:tr w14:paraId="757DBB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441E378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56450A5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组成部件线路连接集成</w:t>
                  </w:r>
                </w:p>
              </w:tc>
              <w:tc>
                <w:tcPr>
                  <w:tcW w:w="1776" w:type="pct"/>
                  <w:vAlign w:val="center"/>
                </w:tcPr>
                <w:p w14:paraId="31AA835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工单评分</w:t>
                  </w:r>
                </w:p>
              </w:tc>
            </w:tr>
            <w:tr w14:paraId="3ACF30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7396E87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7F602138">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计算单元I</w:t>
                  </w:r>
                  <w:r>
                    <w:rPr>
                      <w:rFonts w:hint="eastAsia" w:ascii="宋体" w:hAnsi="宋体" w:eastAsia="宋体" w:cs="宋体"/>
                      <w:sz w:val="28"/>
                      <w:szCs w:val="28"/>
                    </w:rPr>
                    <w:t>P</w:t>
                  </w:r>
                  <w:r>
                    <w:rPr>
                      <w:rFonts w:hint="eastAsia" w:ascii="宋体" w:hAnsi="宋体" w:eastAsia="宋体" w:cs="宋体"/>
                      <w:sz w:val="28"/>
                      <w:szCs w:val="28"/>
                    </w:rPr>
                    <w:t>记录</w:t>
                  </w:r>
                </w:p>
              </w:tc>
              <w:tc>
                <w:tcPr>
                  <w:tcW w:w="1776" w:type="pct"/>
                  <w:vAlign w:val="center"/>
                </w:tcPr>
                <w:p w14:paraId="25E7706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工单评分</w:t>
                  </w:r>
                </w:p>
              </w:tc>
            </w:tr>
            <w:tr w14:paraId="3F14AA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3971460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4997F55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计算单元通讯状态确认</w:t>
                  </w:r>
                </w:p>
              </w:tc>
              <w:tc>
                <w:tcPr>
                  <w:tcW w:w="1776" w:type="pct"/>
                  <w:vAlign w:val="center"/>
                </w:tcPr>
                <w:p w14:paraId="65AD294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现场评分、工单评分</w:t>
                  </w:r>
                </w:p>
              </w:tc>
            </w:tr>
            <w:tr w14:paraId="6C6521F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16DC306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1839E0D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单目相机功能检查</w:t>
                  </w:r>
                </w:p>
              </w:tc>
              <w:tc>
                <w:tcPr>
                  <w:tcW w:w="1776" w:type="pct"/>
                  <w:vAlign w:val="center"/>
                </w:tcPr>
                <w:p w14:paraId="7F72A65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现场评分、工单评分</w:t>
                  </w:r>
                </w:p>
              </w:tc>
            </w:tr>
            <w:tr w14:paraId="13A7AB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7ED4D50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45FD2E5B">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激光雷达参数配置</w:t>
                  </w:r>
                </w:p>
              </w:tc>
              <w:tc>
                <w:tcPr>
                  <w:tcW w:w="1776" w:type="pct"/>
                  <w:vAlign w:val="center"/>
                </w:tcPr>
                <w:p w14:paraId="1CE8378C">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现场评分、工单评分</w:t>
                  </w:r>
                </w:p>
              </w:tc>
            </w:tr>
            <w:tr w14:paraId="2CCC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225FF6A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568756A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组合导航G</w:t>
                  </w:r>
                  <w:r>
                    <w:rPr>
                      <w:rFonts w:hint="eastAsia" w:ascii="宋体" w:hAnsi="宋体" w:eastAsia="宋体" w:cs="宋体"/>
                      <w:sz w:val="28"/>
                      <w:szCs w:val="28"/>
                    </w:rPr>
                    <w:t>NSS</w:t>
                  </w:r>
                  <w:r>
                    <w:rPr>
                      <w:rFonts w:hint="eastAsia" w:ascii="宋体" w:hAnsi="宋体" w:eastAsia="宋体" w:cs="宋体"/>
                      <w:sz w:val="28"/>
                      <w:szCs w:val="28"/>
                    </w:rPr>
                    <w:t>参数配置</w:t>
                  </w:r>
                </w:p>
              </w:tc>
              <w:tc>
                <w:tcPr>
                  <w:tcW w:w="1776" w:type="pct"/>
                  <w:vAlign w:val="center"/>
                </w:tcPr>
                <w:p w14:paraId="21148F5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现场评分、工单评分</w:t>
                  </w:r>
                </w:p>
              </w:tc>
            </w:tr>
            <w:tr w14:paraId="6B55447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305F6A4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577D358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自动驾驶循迹功能测试</w:t>
                  </w:r>
                </w:p>
              </w:tc>
              <w:tc>
                <w:tcPr>
                  <w:tcW w:w="1776" w:type="pct"/>
                  <w:vAlign w:val="center"/>
                </w:tcPr>
                <w:p w14:paraId="797A7E8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现场评分、工单评分</w:t>
                  </w:r>
                </w:p>
              </w:tc>
            </w:tr>
            <w:tr w14:paraId="4B73B8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41300B8E">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6B38125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智能网联车辆道路测试</w:t>
                  </w:r>
                </w:p>
              </w:tc>
              <w:tc>
                <w:tcPr>
                  <w:tcW w:w="1776" w:type="pct"/>
                  <w:vAlign w:val="center"/>
                </w:tcPr>
                <w:p w14:paraId="61245F9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现场评分、工单评分</w:t>
                  </w:r>
                </w:p>
              </w:tc>
            </w:tr>
            <w:tr w14:paraId="1D4C549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pct"/>
                  <w:vMerge w:val="continue"/>
                  <w:vAlign w:val="center"/>
                </w:tcPr>
                <w:p w14:paraId="316CDF5A">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p>
              </w:tc>
              <w:tc>
                <w:tcPr>
                  <w:tcW w:w="2412" w:type="pct"/>
                  <w:vAlign w:val="center"/>
                </w:tcPr>
                <w:p w14:paraId="38C14D19">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故障检测与排除</w:t>
                  </w:r>
                </w:p>
              </w:tc>
              <w:tc>
                <w:tcPr>
                  <w:tcW w:w="1776" w:type="pct"/>
                  <w:vAlign w:val="center"/>
                </w:tcPr>
                <w:p w14:paraId="6AB783E8">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工单评分</w:t>
                  </w:r>
                </w:p>
              </w:tc>
            </w:tr>
          </w:tbl>
          <w:p w14:paraId="074684C6">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3.成绩管理程序</w:t>
            </w:r>
          </w:p>
          <w:p w14:paraId="376054FB">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drawing>
                <wp:anchor distT="0" distB="0" distL="114300" distR="114300" simplePos="0" relativeHeight="251659264" behindDoc="0" locked="0" layoutInCell="1" allowOverlap="1">
                  <wp:simplePos x="0" y="0"/>
                  <wp:positionH relativeFrom="column">
                    <wp:posOffset>408940</wp:posOffset>
                  </wp:positionH>
                  <wp:positionV relativeFrom="paragraph">
                    <wp:posOffset>781050</wp:posOffset>
                  </wp:positionV>
                  <wp:extent cx="4912995" cy="4847590"/>
                  <wp:effectExtent l="0" t="0" r="1905" b="0"/>
                  <wp:wrapTopAndBottom/>
                  <wp:docPr id="1" name="图片 1" descr="成绩管理程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成绩管理程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912995" cy="4847590"/>
                          </a:xfrm>
                          <a:prstGeom prst="rect">
                            <a:avLst/>
                          </a:prstGeom>
                          <a:noFill/>
                          <a:ln>
                            <a:noFill/>
                          </a:ln>
                        </pic:spPr>
                      </pic:pic>
                    </a:graphicData>
                  </a:graphic>
                </wp:anchor>
              </w:drawing>
            </w:r>
            <w:r>
              <w:rPr>
                <w:rFonts w:hint="eastAsia" w:ascii="宋体" w:hAnsi="宋体" w:eastAsia="宋体" w:cs="宋体"/>
                <w:sz w:val="28"/>
                <w:szCs w:val="28"/>
              </w:rPr>
              <w:t>参赛选手的成绩评定与管理按照严密的程序进行，见成绩管理流程图。</w:t>
            </w:r>
          </w:p>
          <w:p w14:paraId="56FC760B">
            <w:pPr>
              <w:keepNext w:val="0"/>
              <w:keepLines w:val="0"/>
              <w:pageBreakBefore w:val="0"/>
              <w:kinsoku/>
              <w:wordWrap/>
              <w:overflowPunct/>
              <w:topLinePunct w:val="0"/>
              <w:autoSpaceDE/>
              <w:autoSpaceDN/>
              <w:bidi w:val="0"/>
              <w:spacing w:line="44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成绩管理流程</w:t>
            </w:r>
          </w:p>
          <w:p w14:paraId="53E03B87">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rPr>
              <w:t>.成绩公布</w:t>
            </w:r>
          </w:p>
          <w:p w14:paraId="5C58929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（1）公示。当日竞赛成绩在竞赛完毕3小时后公示。所有竞赛结束后记分员将解密后的各参赛队成绩汇总成最终成绩单，经裁判长、监督组组长签字后进行公示。</w:t>
            </w:r>
          </w:p>
          <w:p w14:paraId="4CFBAD6D">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（2）录入。成绩公示2小时无异议后，由赛务信息员将赛项总成绩的最终结果录入赛务管理系统。</w:t>
            </w:r>
          </w:p>
          <w:p w14:paraId="6E3905E3">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（3）审核。赛务信息员对成绩数据审核后，将赛务系统中录入的成绩导出打印，经裁判长、仲裁长和监督组组长审核签字。</w:t>
            </w:r>
          </w:p>
          <w:p w14:paraId="1CA3C6C2">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（4）公布。由裁判长在闭幕式上宣布最终竞赛成绩。</w:t>
            </w:r>
          </w:p>
          <w:p w14:paraId="500F3EE5">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（5）报送。由赛务信息员将签字的纸质打印成绩单报送赛项执委会和大赛执委会办公室。</w:t>
            </w:r>
          </w:p>
        </w:tc>
      </w:tr>
    </w:tbl>
    <w:p w14:paraId="58E621DF">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十五、奖项设置</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21A1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0" w:hRule="atLeast"/>
          <w:jc w:val="center"/>
        </w:trPr>
        <w:tc>
          <w:tcPr>
            <w:tcW w:w="9180" w:type="dxa"/>
            <w:tcBorders>
              <w:top w:val="single" w:color="000000" w:sz="2" w:space="0"/>
              <w:left w:val="single" w:color="000000" w:sz="2" w:space="0"/>
              <w:right w:val="single" w:color="000000" w:sz="2" w:space="0"/>
            </w:tcBorders>
          </w:tcPr>
          <w:p w14:paraId="2E23773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竞赛设一等奖1名，二等奖3名，三等奖5名。（如有其它配套奖项请补充），对获得赛项奖的指导教师，颁发“优秀指导教师”证书。</w:t>
            </w:r>
          </w:p>
        </w:tc>
      </w:tr>
    </w:tbl>
    <w:p w14:paraId="3A98CB33">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十六、赛项预案</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2CCF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75" w:hRule="atLeast"/>
          <w:jc w:val="center"/>
        </w:trPr>
        <w:tc>
          <w:tcPr>
            <w:tcW w:w="9180" w:type="dxa"/>
            <w:tcBorders>
              <w:top w:val="single" w:color="000000" w:sz="2" w:space="0"/>
              <w:left w:val="single" w:color="000000" w:sz="2" w:space="0"/>
              <w:right w:val="single" w:color="000000" w:sz="2" w:space="0"/>
            </w:tcBorders>
          </w:tcPr>
          <w:p w14:paraId="12B83E91">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1.赛场配备技术人员，当网络、设备等出现问题时，技术人员可第一时间提供专业技术支持。</w:t>
            </w:r>
          </w:p>
          <w:p w14:paraId="41450EC0">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2.竞赛现场配置安全通道，当出现火情或其他灾害情况，工作人员应立即向保卫组汇报，保卫组接报后要火速到达现场并配合消防队员和公安干警，指挥人员疏散到安全区域并及时处置现场状况。</w:t>
            </w:r>
          </w:p>
          <w:p w14:paraId="1153BFEF">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3.竞赛过程中出现设备断电、故障等意外时，现场裁判需及时确认情况，安排技术支持人员进行处理，现场裁判登记详细情况，填写补时登记表，报裁判长批准后，可安排延长补足相应选手的比赛时间。</w:t>
            </w:r>
          </w:p>
          <w:p w14:paraId="54F6E1AE">
            <w:pPr>
              <w:keepNext w:val="0"/>
              <w:keepLines w:val="0"/>
              <w:pageBreakBefore w:val="0"/>
              <w:kinsoku/>
              <w:wordWrap/>
              <w:overflowPunct/>
              <w:topLinePunct w:val="0"/>
              <w:autoSpaceDE/>
              <w:autoSpaceDN/>
              <w:bidi w:val="0"/>
              <w:spacing w:line="440" w:lineRule="exact"/>
              <w:ind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rPr>
              <w:t>.赛场设有应急医疗点，用于参赛选手突发身体不适（如发热、咳嗽等）或出现碰伤、划伤等意外情况的应急处理；如应急医疗点诊断参赛选手可以继续比赛的，经裁判长确认予以安排原工位或备用工位进行比赛。如参赛选手不能继续参加比赛的，必要时可联系120急救车。</w:t>
            </w:r>
          </w:p>
          <w:p w14:paraId="1945FB8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rPr>
              <w:t>.比赛期间发生意外事故，发现者应第一时间报告执委会，同时采取措施避免事态扩大。赛项出现重大安全问题可以停赛，是否停赛由执委会决定。事后执委会应向组委会报告详细情况。</w:t>
            </w:r>
          </w:p>
        </w:tc>
      </w:tr>
    </w:tbl>
    <w:p w14:paraId="2BF806E3">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十七、竞赛须知</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67F9B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0" w:hRule="atLeast"/>
          <w:jc w:val="center"/>
        </w:trPr>
        <w:tc>
          <w:tcPr>
            <w:tcW w:w="9180" w:type="dxa"/>
            <w:tcBorders>
              <w:top w:val="single" w:color="000000" w:sz="2" w:space="0"/>
              <w:left w:val="single" w:color="000000" w:sz="2" w:space="0"/>
              <w:right w:val="single" w:color="000000" w:sz="2" w:space="0"/>
            </w:tcBorders>
          </w:tcPr>
          <w:p w14:paraId="652D094E">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（一）参赛队须知</w:t>
            </w:r>
          </w:p>
          <w:p w14:paraId="0BCAE32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1.各参赛队须为参赛选手购买大赛期间的人身意外伤害保险。</w:t>
            </w:r>
          </w:p>
          <w:p w14:paraId="017A407E">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2.各参赛队须对参赛选手、指导教师、领队进行安全管理和维稳教育，在比赛期间需保持通信畅通。</w:t>
            </w:r>
          </w:p>
          <w:p w14:paraId="4A08E10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rPr>
              <w:t>.对申诉的仲裁结果，领队和指导教师应带头服从和执行，还应说服参赛选手服从和执行。凡恶意申诉，一经查实，组委会将追查相关人员责任。</w:t>
            </w:r>
          </w:p>
          <w:p w14:paraId="51AD159E">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rPr>
              <w:t>.领队负责做好本参赛队比赛期间的管理与组织工作。</w:t>
            </w:r>
          </w:p>
          <w:p w14:paraId="7823386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rPr>
              <w:t>.执行大赛各项规定。各参赛队领队、指导教师在比赛前和比赛期间不允许私自接触裁判，不得以任何形式影响裁判人员的评判。</w:t>
            </w:r>
          </w:p>
          <w:p w14:paraId="7A3861E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6.指定一名领队或指导教师准时参加赛前领队会议，进行抽签确定竞赛当日抽签顺序，并认真传达落实会议精神。 </w:t>
            </w:r>
          </w:p>
          <w:p w14:paraId="2C9E1ED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（二）指导教师须知</w:t>
            </w:r>
          </w:p>
          <w:p w14:paraId="49127FB7">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1.指导教师经报名、审核后确定，一经确定不得更换，如需更换，须由各地区代表队行政部门于相应赛项开赛10个工作日之前出具书面说明并按相关规定补充人员并接受审核。</w:t>
            </w:r>
          </w:p>
          <w:p w14:paraId="65BA663F">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2.各代表队指导教师要坚决执行比赛的各项规定，指导选手做好赛前的一切准备工作，不得以任何理由影响比赛正常进行。</w:t>
            </w:r>
          </w:p>
          <w:p w14:paraId="3AF165C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3.对申诉的仲裁结果，指导教师应带头服从和执行，还应说服选手服从和执行。</w:t>
            </w:r>
          </w:p>
          <w:p w14:paraId="59D9D2BD">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4.指导教师应认真研究和掌握本赛项比赛的技术规则和赛场要求，对参赛选手做好安全和纪律教育。</w:t>
            </w:r>
          </w:p>
          <w:p w14:paraId="147681E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（三）参赛选手须知</w:t>
            </w:r>
          </w:p>
          <w:p w14:paraId="2161CA84">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1.参赛选手应严格遵守竞赛规则和竞赛纪律，服从裁判员和竞赛工作人员的统一指挥安排，自觉维护赛场秩序，不得因申诉或对处理意见不服而停止竞赛，否则以弃权处理。</w:t>
            </w:r>
          </w:p>
          <w:p w14:paraId="3FA2F6C1">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2.参赛选手须文明竞赛，接受裁判的监督和警示。</w:t>
            </w:r>
          </w:p>
          <w:p w14:paraId="69E12AEB">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3.参赛选手必须持本人身份证、并佩戴组委会签发的参赛证件；在赛前60分钟到达赛场进行检录、抽取赛位号，进行赛前准备，等候比赛开始指令。正式竞赛开始尚未检录的选手，不得参加竞赛。已检录入场的参赛选手未经允许，不得擅自离开。</w:t>
            </w:r>
          </w:p>
          <w:p w14:paraId="7E386D4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4.选手进入赛场不得携带任何纸质资料、通讯工具、电子书、存储设备、照相及录像设备等。</w:t>
            </w:r>
          </w:p>
          <w:p w14:paraId="55C5634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5.选手在收到开赛信号前不得启动操作；若结束比赛，应向裁判举手示意，由裁判记录比赛结束时间；比赛结束后，不得再进行任何与比赛有关的操作。</w:t>
            </w:r>
          </w:p>
          <w:p w14:paraId="107EB260">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6.在比赛中如遇非人为因素造成的器材故障，应及时向裁判反映，经裁判确认后，可向裁判长申请补足排除故障的时间。</w:t>
            </w:r>
          </w:p>
          <w:p w14:paraId="678DD1F5">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7.比赛结束后，应按要求向裁判提交选手报告单。 </w:t>
            </w:r>
          </w:p>
          <w:p w14:paraId="46BC8FFA">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8.参赛选手应注意安全，必须穿安全鞋。</w:t>
            </w:r>
          </w:p>
          <w:p w14:paraId="6373ED02">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（四）工作人员须知</w:t>
            </w:r>
          </w:p>
          <w:p w14:paraId="715841E3">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1.工作人员必须服从统一领导，严格遵守竞赛纪律及时间安排，严守工作岗位，不得无故离岗。</w:t>
            </w:r>
          </w:p>
          <w:p w14:paraId="61E48B56">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2.工作人员必须着装整齐，统一佩戴由大赛组委会签发的相应证件，精神饱满、热情服务。</w:t>
            </w:r>
          </w:p>
          <w:p w14:paraId="17C25569">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 xml:space="preserve">3.熟悉赛项指南，严格按照工作程序和有关规定办事，遇突发事件，按照安全工作预案，组织指挥人员疏散，确保人员安全。 </w:t>
            </w:r>
          </w:p>
          <w:p w14:paraId="39540968">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4.工作人员未经允许不得随意进入比赛现场。</w:t>
            </w:r>
          </w:p>
        </w:tc>
      </w:tr>
    </w:tbl>
    <w:p w14:paraId="7190298F">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十八、申诉</w:t>
      </w:r>
      <w:bookmarkStart w:id="1" w:name="_GoBack"/>
      <w:bookmarkEnd w:id="1"/>
      <w:r>
        <w:rPr>
          <w:rFonts w:hint="eastAsia" w:ascii="宋体" w:hAnsi="宋体" w:eastAsia="宋体" w:cs="宋体"/>
          <w:b/>
          <w:bCs/>
          <w:sz w:val="28"/>
          <w:szCs w:val="28"/>
        </w:rPr>
        <w:t>与仲裁</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80"/>
      </w:tblGrid>
      <w:tr w14:paraId="3F9B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19" w:hRule="atLeast"/>
          <w:jc w:val="center"/>
        </w:trPr>
        <w:tc>
          <w:tcPr>
            <w:tcW w:w="9180" w:type="dxa"/>
            <w:tcBorders>
              <w:top w:val="single" w:color="000000" w:sz="2" w:space="0"/>
              <w:left w:val="single" w:color="000000" w:sz="2" w:space="0"/>
              <w:right w:val="single" w:color="000000" w:sz="2" w:space="0"/>
            </w:tcBorders>
          </w:tcPr>
          <w:p w14:paraId="42EAAA81">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本赛项在比赛过程中若出现有失公正或有关人员违规等现象，参赛队领队可在当日比赛结束后2小时内向仲裁组提出申诉。赛项仲裁组在接到申诉后的2小时内组织复议，并及时反馈复议结果。申诉方对复议结果仍有异议，可由领队向仲裁委员会提出申诉。仲裁委员会的仲裁结果为最终结果。</w:t>
            </w:r>
          </w:p>
        </w:tc>
      </w:tr>
    </w:tbl>
    <w:p w14:paraId="640B65BA">
      <w:pPr>
        <w:keepNext w:val="0"/>
        <w:keepLines w:val="0"/>
        <w:pageBreakBefore w:val="0"/>
        <w:kinsoku/>
        <w:wordWrap/>
        <w:overflowPunct/>
        <w:topLinePunct w:val="0"/>
        <w:autoSpaceDE/>
        <w:autoSpaceDN/>
        <w:bidi w:val="0"/>
        <w:spacing w:line="440" w:lineRule="exact"/>
        <w:ind w:firstLine="0" w:firstLineChars="0"/>
        <w:textAlignment w:val="auto"/>
        <w:rPr>
          <w:rFonts w:hint="eastAsia" w:ascii="宋体" w:hAnsi="宋体" w:eastAsia="宋体" w:cs="宋体"/>
          <w:sz w:val="28"/>
          <w:szCs w:val="28"/>
        </w:rPr>
      </w:pPr>
    </w:p>
    <w:sectPr>
      <w:footerReference r:id="rId3" w:type="default"/>
      <w:pgSz w:w="11906" w:h="16838"/>
      <w:pgMar w:top="1240" w:right="1800" w:bottom="1318"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4E0D8">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3A422E">
                          <w:pPr>
                            <w:pStyle w:val="4"/>
                            <w:rPr>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A3A422E">
                    <w:pPr>
                      <w:pStyle w:val="4"/>
                      <w:rPr>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51689F"/>
    <w:rsid w:val="00006B7F"/>
    <w:rsid w:val="000255C6"/>
    <w:rsid w:val="00053991"/>
    <w:rsid w:val="00064C18"/>
    <w:rsid w:val="000827AB"/>
    <w:rsid w:val="000828F1"/>
    <w:rsid w:val="00095E74"/>
    <w:rsid w:val="00097D48"/>
    <w:rsid w:val="000C4C7A"/>
    <w:rsid w:val="000F738E"/>
    <w:rsid w:val="001007D8"/>
    <w:rsid w:val="001221CE"/>
    <w:rsid w:val="00141EFA"/>
    <w:rsid w:val="00163AC7"/>
    <w:rsid w:val="001827A9"/>
    <w:rsid w:val="001907EC"/>
    <w:rsid w:val="001A1102"/>
    <w:rsid w:val="001B598C"/>
    <w:rsid w:val="00201C10"/>
    <w:rsid w:val="002222FC"/>
    <w:rsid w:val="00227BA1"/>
    <w:rsid w:val="00240761"/>
    <w:rsid w:val="00242E81"/>
    <w:rsid w:val="00245102"/>
    <w:rsid w:val="00255287"/>
    <w:rsid w:val="00266654"/>
    <w:rsid w:val="00274DAC"/>
    <w:rsid w:val="00277239"/>
    <w:rsid w:val="00282C6B"/>
    <w:rsid w:val="002A1AC8"/>
    <w:rsid w:val="002A3F97"/>
    <w:rsid w:val="002A4553"/>
    <w:rsid w:val="002C4594"/>
    <w:rsid w:val="002D3231"/>
    <w:rsid w:val="002D398C"/>
    <w:rsid w:val="002E4812"/>
    <w:rsid w:val="002E7926"/>
    <w:rsid w:val="002F7A48"/>
    <w:rsid w:val="00351B3A"/>
    <w:rsid w:val="003533E3"/>
    <w:rsid w:val="003717F3"/>
    <w:rsid w:val="00382F6E"/>
    <w:rsid w:val="003E0D00"/>
    <w:rsid w:val="003E2E52"/>
    <w:rsid w:val="003E4E63"/>
    <w:rsid w:val="003F4807"/>
    <w:rsid w:val="003F6A85"/>
    <w:rsid w:val="00405845"/>
    <w:rsid w:val="0041383C"/>
    <w:rsid w:val="0042565A"/>
    <w:rsid w:val="004325BF"/>
    <w:rsid w:val="00437300"/>
    <w:rsid w:val="004427BB"/>
    <w:rsid w:val="00465269"/>
    <w:rsid w:val="00466D8A"/>
    <w:rsid w:val="004827F8"/>
    <w:rsid w:val="00491C31"/>
    <w:rsid w:val="004A6ADE"/>
    <w:rsid w:val="004B01D8"/>
    <w:rsid w:val="004D5DE2"/>
    <w:rsid w:val="004E26F0"/>
    <w:rsid w:val="00504D03"/>
    <w:rsid w:val="0051689F"/>
    <w:rsid w:val="00523F67"/>
    <w:rsid w:val="00524F2A"/>
    <w:rsid w:val="005340C3"/>
    <w:rsid w:val="00552A7F"/>
    <w:rsid w:val="00580CDD"/>
    <w:rsid w:val="00584163"/>
    <w:rsid w:val="005872A2"/>
    <w:rsid w:val="00611E26"/>
    <w:rsid w:val="0061685E"/>
    <w:rsid w:val="00623DDF"/>
    <w:rsid w:val="0064068D"/>
    <w:rsid w:val="006634AA"/>
    <w:rsid w:val="00663CD3"/>
    <w:rsid w:val="006665A7"/>
    <w:rsid w:val="00672776"/>
    <w:rsid w:val="0067346F"/>
    <w:rsid w:val="00696D93"/>
    <w:rsid w:val="006B258B"/>
    <w:rsid w:val="006F1D52"/>
    <w:rsid w:val="00714C10"/>
    <w:rsid w:val="00724C7E"/>
    <w:rsid w:val="00727694"/>
    <w:rsid w:val="00743A45"/>
    <w:rsid w:val="00744722"/>
    <w:rsid w:val="00776C75"/>
    <w:rsid w:val="007B1D54"/>
    <w:rsid w:val="007C31D4"/>
    <w:rsid w:val="007C7AA7"/>
    <w:rsid w:val="007D74F9"/>
    <w:rsid w:val="007E2A4A"/>
    <w:rsid w:val="008010D7"/>
    <w:rsid w:val="00806C0A"/>
    <w:rsid w:val="008279E6"/>
    <w:rsid w:val="00832D2B"/>
    <w:rsid w:val="00841606"/>
    <w:rsid w:val="00846AEA"/>
    <w:rsid w:val="008620A4"/>
    <w:rsid w:val="0087141D"/>
    <w:rsid w:val="00871A1A"/>
    <w:rsid w:val="0087205D"/>
    <w:rsid w:val="008C3FB2"/>
    <w:rsid w:val="008D5073"/>
    <w:rsid w:val="008E6958"/>
    <w:rsid w:val="008F52BC"/>
    <w:rsid w:val="00903B4A"/>
    <w:rsid w:val="00924C30"/>
    <w:rsid w:val="00952FF2"/>
    <w:rsid w:val="00993690"/>
    <w:rsid w:val="00994B04"/>
    <w:rsid w:val="009C61F0"/>
    <w:rsid w:val="009D40CA"/>
    <w:rsid w:val="009F0C6C"/>
    <w:rsid w:val="00A13ED0"/>
    <w:rsid w:val="00A22224"/>
    <w:rsid w:val="00A252A0"/>
    <w:rsid w:val="00A27276"/>
    <w:rsid w:val="00A333A8"/>
    <w:rsid w:val="00A47E29"/>
    <w:rsid w:val="00A5290D"/>
    <w:rsid w:val="00A533FC"/>
    <w:rsid w:val="00A62FC9"/>
    <w:rsid w:val="00A74B66"/>
    <w:rsid w:val="00A76D7D"/>
    <w:rsid w:val="00AB319A"/>
    <w:rsid w:val="00AE2C42"/>
    <w:rsid w:val="00AF2C6A"/>
    <w:rsid w:val="00B108C4"/>
    <w:rsid w:val="00B156FC"/>
    <w:rsid w:val="00B22E32"/>
    <w:rsid w:val="00B32427"/>
    <w:rsid w:val="00B32BAC"/>
    <w:rsid w:val="00B368F6"/>
    <w:rsid w:val="00B36C4A"/>
    <w:rsid w:val="00B42076"/>
    <w:rsid w:val="00B42787"/>
    <w:rsid w:val="00B642E3"/>
    <w:rsid w:val="00B667BE"/>
    <w:rsid w:val="00B71BBD"/>
    <w:rsid w:val="00B763AD"/>
    <w:rsid w:val="00B90997"/>
    <w:rsid w:val="00BD19DF"/>
    <w:rsid w:val="00BD6F8F"/>
    <w:rsid w:val="00C11C60"/>
    <w:rsid w:val="00C24D62"/>
    <w:rsid w:val="00C25235"/>
    <w:rsid w:val="00C420DF"/>
    <w:rsid w:val="00C769EB"/>
    <w:rsid w:val="00C80274"/>
    <w:rsid w:val="00C81643"/>
    <w:rsid w:val="00C85A6A"/>
    <w:rsid w:val="00CA3776"/>
    <w:rsid w:val="00CA62DB"/>
    <w:rsid w:val="00CC5636"/>
    <w:rsid w:val="00CC63CD"/>
    <w:rsid w:val="00CD26D5"/>
    <w:rsid w:val="00CF0DF8"/>
    <w:rsid w:val="00CF7F74"/>
    <w:rsid w:val="00D0501A"/>
    <w:rsid w:val="00D2740F"/>
    <w:rsid w:val="00D5779F"/>
    <w:rsid w:val="00D679C0"/>
    <w:rsid w:val="00D8752D"/>
    <w:rsid w:val="00DA7B49"/>
    <w:rsid w:val="00DB3CCB"/>
    <w:rsid w:val="00DB719A"/>
    <w:rsid w:val="00DB7D27"/>
    <w:rsid w:val="00DC0A62"/>
    <w:rsid w:val="00DC2AB3"/>
    <w:rsid w:val="00DC460A"/>
    <w:rsid w:val="00DE5FBE"/>
    <w:rsid w:val="00DF205A"/>
    <w:rsid w:val="00E0635F"/>
    <w:rsid w:val="00E14E17"/>
    <w:rsid w:val="00E17AD1"/>
    <w:rsid w:val="00E17C8B"/>
    <w:rsid w:val="00E22EAE"/>
    <w:rsid w:val="00E301C8"/>
    <w:rsid w:val="00E37E98"/>
    <w:rsid w:val="00E6302C"/>
    <w:rsid w:val="00E8100B"/>
    <w:rsid w:val="00E814B3"/>
    <w:rsid w:val="00E90D60"/>
    <w:rsid w:val="00E92F02"/>
    <w:rsid w:val="00E93192"/>
    <w:rsid w:val="00E973D9"/>
    <w:rsid w:val="00EA32F8"/>
    <w:rsid w:val="00EA41D4"/>
    <w:rsid w:val="00EB0E66"/>
    <w:rsid w:val="00EF0593"/>
    <w:rsid w:val="00F04F2A"/>
    <w:rsid w:val="00F1139F"/>
    <w:rsid w:val="00F713D5"/>
    <w:rsid w:val="00F75FE0"/>
    <w:rsid w:val="00F766B4"/>
    <w:rsid w:val="00F95427"/>
    <w:rsid w:val="00F95B98"/>
    <w:rsid w:val="00F974BD"/>
    <w:rsid w:val="00FA13E1"/>
    <w:rsid w:val="00FA2D53"/>
    <w:rsid w:val="00FA631B"/>
    <w:rsid w:val="00FB2ACE"/>
    <w:rsid w:val="00FD58A9"/>
    <w:rsid w:val="00FE1686"/>
    <w:rsid w:val="00FE3607"/>
    <w:rsid w:val="00FE7FFD"/>
    <w:rsid w:val="00FF3EEA"/>
    <w:rsid w:val="0282168D"/>
    <w:rsid w:val="02C62933"/>
    <w:rsid w:val="03B64EBD"/>
    <w:rsid w:val="03F73D27"/>
    <w:rsid w:val="04231234"/>
    <w:rsid w:val="04EA5381"/>
    <w:rsid w:val="05285DED"/>
    <w:rsid w:val="06A95A73"/>
    <w:rsid w:val="06BB51FC"/>
    <w:rsid w:val="06F43B0B"/>
    <w:rsid w:val="09957FA5"/>
    <w:rsid w:val="0C230210"/>
    <w:rsid w:val="104F2851"/>
    <w:rsid w:val="115D0CBD"/>
    <w:rsid w:val="12AA338A"/>
    <w:rsid w:val="136E12C6"/>
    <w:rsid w:val="13736033"/>
    <w:rsid w:val="139474AE"/>
    <w:rsid w:val="14625938"/>
    <w:rsid w:val="1499306D"/>
    <w:rsid w:val="19683F5B"/>
    <w:rsid w:val="1AB449F0"/>
    <w:rsid w:val="1D39539B"/>
    <w:rsid w:val="1D3F5455"/>
    <w:rsid w:val="1D5F77B4"/>
    <w:rsid w:val="2088476C"/>
    <w:rsid w:val="20B56F1B"/>
    <w:rsid w:val="222B0335"/>
    <w:rsid w:val="22E04744"/>
    <w:rsid w:val="23A16A37"/>
    <w:rsid w:val="25F4470E"/>
    <w:rsid w:val="27391076"/>
    <w:rsid w:val="2C03296F"/>
    <w:rsid w:val="2D607348"/>
    <w:rsid w:val="2D9A5DFE"/>
    <w:rsid w:val="2E1626D1"/>
    <w:rsid w:val="30267AFA"/>
    <w:rsid w:val="32B51A64"/>
    <w:rsid w:val="34A6680D"/>
    <w:rsid w:val="37E010CF"/>
    <w:rsid w:val="384C648D"/>
    <w:rsid w:val="3874749E"/>
    <w:rsid w:val="3891486E"/>
    <w:rsid w:val="3C58101D"/>
    <w:rsid w:val="3DF466D8"/>
    <w:rsid w:val="40D76AF9"/>
    <w:rsid w:val="41C7182C"/>
    <w:rsid w:val="449F53B4"/>
    <w:rsid w:val="46594377"/>
    <w:rsid w:val="466E0922"/>
    <w:rsid w:val="46A52C30"/>
    <w:rsid w:val="46D32EE8"/>
    <w:rsid w:val="482B0799"/>
    <w:rsid w:val="48CC18F2"/>
    <w:rsid w:val="48D21436"/>
    <w:rsid w:val="49CD4282"/>
    <w:rsid w:val="49FF3A8D"/>
    <w:rsid w:val="4A1E574C"/>
    <w:rsid w:val="4B300AEB"/>
    <w:rsid w:val="4CA87FCD"/>
    <w:rsid w:val="4E7B393A"/>
    <w:rsid w:val="4ED04F5B"/>
    <w:rsid w:val="50BC2546"/>
    <w:rsid w:val="50F300AC"/>
    <w:rsid w:val="553C3A71"/>
    <w:rsid w:val="55A63DC1"/>
    <w:rsid w:val="5A807D9A"/>
    <w:rsid w:val="5CF73E90"/>
    <w:rsid w:val="5E2B2731"/>
    <w:rsid w:val="5EFE6E52"/>
    <w:rsid w:val="60714E01"/>
    <w:rsid w:val="6298132C"/>
    <w:rsid w:val="63BE7E14"/>
    <w:rsid w:val="69BDA91A"/>
    <w:rsid w:val="69F829C1"/>
    <w:rsid w:val="6B920112"/>
    <w:rsid w:val="6E5B49FB"/>
    <w:rsid w:val="6F5E6D24"/>
    <w:rsid w:val="6F7F4719"/>
    <w:rsid w:val="6FAA0DA2"/>
    <w:rsid w:val="6FD44A65"/>
    <w:rsid w:val="6FF6A08C"/>
    <w:rsid w:val="701D1022"/>
    <w:rsid w:val="7028502E"/>
    <w:rsid w:val="70A1652C"/>
    <w:rsid w:val="71386B38"/>
    <w:rsid w:val="718B35CA"/>
    <w:rsid w:val="729D0723"/>
    <w:rsid w:val="736028BB"/>
    <w:rsid w:val="74A56E92"/>
    <w:rsid w:val="7903718D"/>
    <w:rsid w:val="7B310FBD"/>
    <w:rsid w:val="7D38066E"/>
    <w:rsid w:val="7F6E51B0"/>
    <w:rsid w:val="E4FB55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1"/>
    <w:pPr>
      <w:widowControl/>
      <w:ind w:left="118"/>
      <w:jc w:val="left"/>
    </w:pPr>
    <w:rPr>
      <w:rFonts w:ascii="仿宋" w:hAnsi="仿宋" w:eastAsia="仿宋" w:cs="仿宋"/>
      <w:kern w:val="0"/>
      <w:sz w:val="28"/>
      <w:szCs w:val="28"/>
      <w:lang w:val="zh-CN" w:bidi="zh-CN"/>
    </w:rPr>
  </w:style>
  <w:style w:type="paragraph" w:styleId="3">
    <w:name w:val="toc 3"/>
    <w:basedOn w:val="1"/>
    <w:next w:val="1"/>
    <w:uiPriority w:val="0"/>
    <w:pPr>
      <w:ind w:left="840"/>
    </w:pPr>
    <w:rPr>
      <w:rFonts w:ascii="Times New Roman" w:hAnsi="Times New Roman" w:cs="宋体"/>
      <w:szCs w:val="24"/>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0">
    <w:name w:val="页眉 字符"/>
    <w:basedOn w:val="9"/>
    <w:link w:val="5"/>
    <w:qFormat/>
    <w:uiPriority w:val="99"/>
    <w:rPr>
      <w:sz w:val="18"/>
      <w:szCs w:val="18"/>
    </w:rPr>
  </w:style>
  <w:style w:type="character" w:customStyle="1" w:styleId="11">
    <w:name w:val="页脚 字符"/>
    <w:basedOn w:val="9"/>
    <w:link w:val="4"/>
    <w:qFormat/>
    <w:uiPriority w:val="99"/>
    <w:rPr>
      <w:sz w:val="18"/>
      <w:szCs w:val="18"/>
    </w:rPr>
  </w:style>
  <w:style w:type="paragraph" w:customStyle="1" w:styleId="12">
    <w:name w:val="小节标题"/>
    <w:basedOn w:val="1"/>
    <w:next w:val="1"/>
    <w:qFormat/>
    <w:uiPriority w:val="0"/>
    <w:pPr>
      <w:widowControl/>
      <w:spacing w:before="175" w:after="102" w:line="566" w:lineRule="atLeast"/>
      <w:textAlignment w:val="baseline"/>
    </w:pPr>
    <w:rPr>
      <w:rFonts w:ascii="Times New Roman" w:hAnsi="Times New Roman" w:eastAsia="黑体"/>
      <w:color w:val="000000"/>
      <w:kern w:val="0"/>
      <w:szCs w:val="20"/>
      <w:u w:color="000000"/>
    </w:rPr>
  </w:style>
  <w:style w:type="paragraph" w:customStyle="1" w:styleId="13">
    <w:name w:val="Table Paragraph"/>
    <w:basedOn w:val="1"/>
    <w:qFormat/>
    <w:uiPriority w:val="1"/>
    <w:rPr>
      <w:szCs w:val="24"/>
    </w:rPr>
  </w:style>
  <w:style w:type="character" w:customStyle="1" w:styleId="14">
    <w:name w:val="正文文本 字符"/>
    <w:basedOn w:val="9"/>
    <w:link w:val="2"/>
    <w:uiPriority w:val="1"/>
    <w:rPr>
      <w:rFonts w:ascii="仿宋" w:hAnsi="仿宋" w:eastAsia="仿宋" w:cs="仿宋"/>
      <w:sz w:val="28"/>
      <w:szCs w:val="28"/>
      <w:lang w:val="zh-CN" w:bidi="zh-CN"/>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6356</Words>
  <Characters>6887</Characters>
  <Lines>52</Lines>
  <Paragraphs>14</Paragraphs>
  <TotalTime>9</TotalTime>
  <ScaleCrop>false</ScaleCrop>
  <LinksUpToDate>false</LinksUpToDate>
  <CharactersWithSpaces>6954</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2024-08-02T08:03:00Z</dcterms:created>
  <dc:creator>lenovo</dc:creator>
  <cp:lastModifiedBy>朱松杰</cp:lastModifiedBy>
  <dcterms:modified xsi:type="dcterms:W3CDTF">2024-08-15T01:38:15Z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024EFA73C2344F759BB4C41D357CFE77</vt:lpwstr>
  </property>
</Properties>
</file>