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2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第十二届“中华杯”教师职业形象塑造竞赛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 w14:paraId="400D5698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 w14:paraId="07FCF9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秉承中华职业教育社优良传统，大力弘扬工匠精神，坚持“面向社会、面向青年、面向技能”的竞赛宗旨，为具有形象设计技能的技能型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 w14:paraId="2D461AF0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 w14:paraId="74E820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6B5CDAE3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 w14:paraId="050C42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承办单位：虹口区中华职业教育社、上海茂美职业技能培训学校、上海市商业学校、上海李玉技能大师工作室</w:t>
      </w:r>
    </w:p>
    <w:p w14:paraId="35F894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协办单位：上海第二工业大学、上海市第二轻工业学校</w:t>
      </w:r>
    </w:p>
    <w:p w14:paraId="753646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指导单位：上海美发美容行业协会</w:t>
      </w:r>
    </w:p>
    <w:p w14:paraId="35D0EF9C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 w14:paraId="548E2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2C45A5B1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 w14:paraId="249F4D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报名日期：2024年8月31日前</w:t>
      </w:r>
    </w:p>
    <w:p w14:paraId="6E1EB0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报名时填写“2024年第十二届上海市‘中华杯’职业技能竞赛报名表”，可用电子邮件形式通过网上报名。</w:t>
      </w:r>
    </w:p>
    <w:p w14:paraId="4AE30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ascii="宋体" w:hAnsi="宋体" w:eastAsia="宋体"/>
          <w:sz w:val="28"/>
          <w:szCs w:val="28"/>
        </w:rPr>
        <w:t>1498375261@qq.com</w:t>
      </w:r>
    </w:p>
    <w:p w14:paraId="2E6E0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：刘茂辉，</w:t>
      </w: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/>
          <w:sz w:val="28"/>
          <w:szCs w:val="28"/>
        </w:rPr>
        <w:t>18101731468</w:t>
      </w:r>
    </w:p>
    <w:p w14:paraId="3EF767C7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 w14:paraId="710186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次竞赛分为理论知识和操作技能两部分。理论知识考试采用闭卷纸笔考方式，用时60分钟。包括判断题、单选题和多选题；操作技能考核采用现场实际操作方式，用时80分钟。旨在考察选手的整体造型能力。选手能按照规范程序、根据教师职业形象主题要求，依据模特的自身条件搭配服装服饰、调整面部比例与皮肤、修饰五官与局部、进行发型盘梳处理、选择与佩戴发饰，完成整体造型。整个造型过程展现竞赛者训练有素的职业素养。理论知识考试和操作技能考核均实行百分制。</w:t>
      </w:r>
    </w:p>
    <w:p w14:paraId="7FF90438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 w14:paraId="36F6B6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教师职业形象塑造：教师的妆容、着装不仅代表着个人形象，更是传递着教师的教育理念和价值观。因此，规范、得体的教师妆容、着装对于树立良好形象、增强师生互动具有重要意义。教师职业形象塑造是运用四季型人色彩理论、身材身型指导服装搭配，脸型与发型的关系来设计发型，面部妆容设计修饰等技能。</w:t>
      </w:r>
    </w:p>
    <w:p w14:paraId="401E402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竞赛方案：</w:t>
      </w:r>
    </w:p>
    <w:tbl>
      <w:tblPr>
        <w:tblStyle w:val="11"/>
        <w:tblpPr w:leftFromText="180" w:rightFromText="180" w:vertAnchor="text" w:horzAnchor="margin" w:tblpY="54"/>
        <w:tblW w:w="8228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431"/>
        <w:gridCol w:w="1172"/>
        <w:gridCol w:w="1186"/>
        <w:gridCol w:w="1101"/>
        <w:gridCol w:w="1341"/>
      </w:tblGrid>
      <w:tr w14:paraId="13CD9C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Merge w:val="restart"/>
            <w:vAlign w:val="center"/>
          </w:tcPr>
          <w:p w14:paraId="54C7670B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模块</w:t>
            </w:r>
          </w:p>
          <w:p w14:paraId="0E3F074E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编号</w:t>
            </w:r>
          </w:p>
        </w:tc>
        <w:tc>
          <w:tcPr>
            <w:tcW w:w="2431" w:type="dxa"/>
            <w:vMerge w:val="restart"/>
            <w:vAlign w:val="center"/>
          </w:tcPr>
          <w:p w14:paraId="2CDC366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模块名称</w:t>
            </w:r>
          </w:p>
        </w:tc>
        <w:tc>
          <w:tcPr>
            <w:tcW w:w="1172" w:type="dxa"/>
            <w:vMerge w:val="restart"/>
            <w:vAlign w:val="center"/>
          </w:tcPr>
          <w:p w14:paraId="2FCEC46E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竞赛时间</w:t>
            </w:r>
          </w:p>
          <w:p w14:paraId="7EEF5AB2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min</w:t>
            </w:r>
          </w:p>
        </w:tc>
        <w:tc>
          <w:tcPr>
            <w:tcW w:w="3628" w:type="dxa"/>
            <w:gridSpan w:val="3"/>
            <w:vAlign w:val="center"/>
          </w:tcPr>
          <w:p w14:paraId="2C7B2BD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分数</w:t>
            </w:r>
          </w:p>
        </w:tc>
      </w:tr>
      <w:tr w14:paraId="5D9CE4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Merge w:val="continue"/>
            <w:vAlign w:val="center"/>
          </w:tcPr>
          <w:p w14:paraId="4933259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</w:p>
        </w:tc>
        <w:tc>
          <w:tcPr>
            <w:tcW w:w="2431" w:type="dxa"/>
            <w:vMerge w:val="continue"/>
            <w:vAlign w:val="center"/>
          </w:tcPr>
          <w:p w14:paraId="403C7B16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</w:p>
        </w:tc>
        <w:tc>
          <w:tcPr>
            <w:tcW w:w="1172" w:type="dxa"/>
            <w:vMerge w:val="continue"/>
          </w:tcPr>
          <w:p w14:paraId="3BEE21D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1F9A70E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评价分</w:t>
            </w:r>
          </w:p>
        </w:tc>
        <w:tc>
          <w:tcPr>
            <w:tcW w:w="1101" w:type="dxa"/>
            <w:vAlign w:val="center"/>
          </w:tcPr>
          <w:p w14:paraId="6051F0C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测量分</w:t>
            </w:r>
          </w:p>
        </w:tc>
        <w:tc>
          <w:tcPr>
            <w:tcW w:w="1341" w:type="dxa"/>
            <w:vAlign w:val="center"/>
          </w:tcPr>
          <w:p w14:paraId="3148D79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4"/>
              </w:rPr>
              <w:t>合计</w:t>
            </w:r>
          </w:p>
        </w:tc>
      </w:tr>
      <w:tr w14:paraId="7540E5E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7" w:type="dxa"/>
            <w:vAlign w:val="bottom"/>
          </w:tcPr>
          <w:p w14:paraId="099436EC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A</w:t>
            </w:r>
          </w:p>
        </w:tc>
        <w:tc>
          <w:tcPr>
            <w:tcW w:w="2431" w:type="dxa"/>
            <w:vAlign w:val="bottom"/>
          </w:tcPr>
          <w:p w14:paraId="5A88F325"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教师职业形象整体造型</w:t>
            </w:r>
          </w:p>
        </w:tc>
        <w:tc>
          <w:tcPr>
            <w:tcW w:w="1172" w:type="dxa"/>
            <w:vAlign w:val="bottom"/>
          </w:tcPr>
          <w:p w14:paraId="340BEF84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80</w:t>
            </w:r>
          </w:p>
        </w:tc>
        <w:tc>
          <w:tcPr>
            <w:tcW w:w="1186" w:type="dxa"/>
            <w:vAlign w:val="bottom"/>
          </w:tcPr>
          <w:p w14:paraId="75C71AA8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70</w:t>
            </w:r>
          </w:p>
        </w:tc>
        <w:tc>
          <w:tcPr>
            <w:tcW w:w="1101" w:type="dxa"/>
            <w:vAlign w:val="bottom"/>
          </w:tcPr>
          <w:p w14:paraId="1903CCC2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30</w:t>
            </w:r>
          </w:p>
        </w:tc>
        <w:tc>
          <w:tcPr>
            <w:tcW w:w="1341" w:type="dxa"/>
            <w:vAlign w:val="bottom"/>
          </w:tcPr>
          <w:p w14:paraId="252E8AB9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60%</w:t>
            </w:r>
          </w:p>
        </w:tc>
      </w:tr>
      <w:tr w14:paraId="5328823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bottom"/>
          </w:tcPr>
          <w:p w14:paraId="3E4B46EB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B</w:t>
            </w:r>
          </w:p>
        </w:tc>
        <w:tc>
          <w:tcPr>
            <w:tcW w:w="2431" w:type="dxa"/>
            <w:vAlign w:val="bottom"/>
          </w:tcPr>
          <w:p w14:paraId="03BFE62D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理论知识</w:t>
            </w:r>
          </w:p>
        </w:tc>
        <w:tc>
          <w:tcPr>
            <w:tcW w:w="1172" w:type="dxa"/>
            <w:vAlign w:val="bottom"/>
          </w:tcPr>
          <w:p w14:paraId="315C41E8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60</w:t>
            </w:r>
          </w:p>
        </w:tc>
        <w:tc>
          <w:tcPr>
            <w:tcW w:w="1186" w:type="dxa"/>
            <w:vAlign w:val="bottom"/>
          </w:tcPr>
          <w:p w14:paraId="699B46D5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100</w:t>
            </w:r>
          </w:p>
        </w:tc>
        <w:tc>
          <w:tcPr>
            <w:tcW w:w="1101" w:type="dxa"/>
            <w:vAlign w:val="bottom"/>
          </w:tcPr>
          <w:p w14:paraId="0738F4D9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0</w:t>
            </w:r>
          </w:p>
        </w:tc>
        <w:tc>
          <w:tcPr>
            <w:tcW w:w="1341" w:type="dxa"/>
            <w:vAlign w:val="bottom"/>
          </w:tcPr>
          <w:p w14:paraId="3C3C5AA7">
            <w:pPr>
              <w:jc w:val="center"/>
              <w:rPr>
                <w:rFonts w:hint="eastAsia" w:asciiTheme="majorEastAsia" w:hAnsiTheme="majorEastAsia" w:eastAsiaTheme="majorEastAsia" w:cstheme="majorEastAsia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4"/>
              </w:rPr>
              <w:t>40%</w:t>
            </w:r>
          </w:p>
        </w:tc>
      </w:tr>
      <w:tr w14:paraId="45AE07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bottom"/>
          </w:tcPr>
          <w:p w14:paraId="3E5384FB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  <w:t>总计</w:t>
            </w:r>
          </w:p>
        </w:tc>
        <w:tc>
          <w:tcPr>
            <w:tcW w:w="2431" w:type="dxa"/>
            <w:vAlign w:val="bottom"/>
          </w:tcPr>
          <w:p w14:paraId="4DA76C0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F89D65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  <w:t>140</w:t>
            </w:r>
          </w:p>
        </w:tc>
        <w:tc>
          <w:tcPr>
            <w:tcW w:w="1186" w:type="dxa"/>
            <w:vAlign w:val="bottom"/>
          </w:tcPr>
          <w:p w14:paraId="6A345786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  <w:t>170</w:t>
            </w:r>
          </w:p>
        </w:tc>
        <w:tc>
          <w:tcPr>
            <w:tcW w:w="1101" w:type="dxa"/>
            <w:vAlign w:val="bottom"/>
          </w:tcPr>
          <w:p w14:paraId="0107B550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  <w:t>30</w:t>
            </w:r>
          </w:p>
        </w:tc>
        <w:tc>
          <w:tcPr>
            <w:tcW w:w="1341" w:type="dxa"/>
            <w:vAlign w:val="bottom"/>
          </w:tcPr>
          <w:p w14:paraId="5590796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4"/>
              </w:rPr>
              <w:t>100</w:t>
            </w:r>
          </w:p>
        </w:tc>
      </w:tr>
    </w:tbl>
    <w:p w14:paraId="3ADECA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b w:val="0"/>
          <w:bCs w:val="0"/>
          <w:sz w:val="28"/>
          <w:szCs w:val="28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</w:rPr>
        <w:t xml:space="preserve">具体竞赛基础设施物品清单见附件 </w:t>
      </w:r>
    </w:p>
    <w:p w14:paraId="70D197D5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 w14:paraId="3177C1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2024年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周六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 w14:paraId="4FD5638C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 w14:paraId="5EF79C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上海市商业学校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室内篮球场</w:t>
      </w:r>
    </w:p>
    <w:p w14:paraId="04727A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（静安区共和新路共和新路1458号）</w:t>
      </w:r>
    </w:p>
    <w:p w14:paraId="1C4BC58D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069DB1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竞赛分为职工组和学生组，每个组别设置一、二、三等奖，获奖比例对应奖项分别为参赛人数的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3.3</w:t>
      </w:r>
      <w:r>
        <w:rPr>
          <w:rFonts w:hint="eastAsia" w:ascii="宋体" w:hAnsi="宋体" w:eastAsia="宋体"/>
          <w:sz w:val="28"/>
          <w:szCs w:val="28"/>
        </w:rPr>
        <w:t>%，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%，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16.7</w:t>
      </w:r>
      <w:r>
        <w:rPr>
          <w:rFonts w:hint="eastAsia" w:ascii="宋体" w:hAnsi="宋体" w:eastAsia="宋体"/>
          <w:sz w:val="28"/>
          <w:szCs w:val="28"/>
        </w:rPr>
        <w:t>%，所有获奖选手均可获得由大赛组委会颁发的获奖证书。</w:t>
      </w:r>
    </w:p>
    <w:p w14:paraId="762E0990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注意事项</w:t>
      </w:r>
    </w:p>
    <w:p w14:paraId="07CFE9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（1）入场前检查选手携带工量具，非要求工具严禁带入。 </w:t>
      </w:r>
    </w:p>
    <w:p w14:paraId="6444E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（2）赛题和配套文件均采用简体中文。 </w:t>
      </w:r>
    </w:p>
    <w:p w14:paraId="0AAB9A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（3）要求在试卷上填写您的场次、工位号等信息，不要在试卷上乱写乱画。 </w:t>
      </w:r>
    </w:p>
    <w:p w14:paraId="1DD1E3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（4）参赛选手如果对试卷内容有疑问，应当先举手示意，等待裁判人员前来处理。 </w:t>
      </w:r>
    </w:p>
    <w:p w14:paraId="4DAAD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（5）扰乱赛场秩序，干扰裁判的正常工作扣10分，情节严重者，经执委会批准，由裁判长宣布，取消参赛资格。 </w:t>
      </w:r>
    </w:p>
    <w:p w14:paraId="04531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（6）不准携带手机等通讯工具，违者取消竞赛资格。 </w:t>
      </w:r>
    </w:p>
    <w:p w14:paraId="1BFFFA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（7）操作时必须得到裁判的允许后，才能开始进行。</w:t>
      </w:r>
    </w:p>
    <w:p w14:paraId="287ADE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（8）竞赛所需模特由选手自带。</w:t>
      </w:r>
    </w:p>
    <w:p w14:paraId="32E93B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（9）场内不提供电插座，若需用电，场外自行解决。</w:t>
      </w:r>
    </w:p>
    <w:p w14:paraId="660A43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十二、其他</w:t>
      </w:r>
    </w:p>
    <w:p w14:paraId="435793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bookmarkStart w:id="0" w:name="_Toc129003130"/>
      <w:bookmarkStart w:id="1" w:name="_Toc57900073"/>
      <w:bookmarkStart w:id="2" w:name="_Toc481314011"/>
      <w:bookmarkStart w:id="3" w:name="_Toc21904"/>
      <w:bookmarkStart w:id="4" w:name="_Toc30723"/>
      <w:r>
        <w:rPr>
          <w:rFonts w:hint="eastAsia" w:ascii="宋体" w:hAnsi="宋体" w:eastAsia="宋体"/>
          <w:sz w:val="28"/>
          <w:szCs w:val="28"/>
        </w:rPr>
        <w:t>1.健康和安全</w:t>
      </w:r>
      <w:bookmarkEnd w:id="0"/>
      <w:bookmarkEnd w:id="1"/>
      <w:bookmarkEnd w:id="2"/>
      <w:bookmarkEnd w:id="3"/>
      <w:bookmarkEnd w:id="4"/>
    </w:p>
    <w:p w14:paraId="092CB5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bookmarkStart w:id="5" w:name="_Toc481314012"/>
      <w:r>
        <w:rPr>
          <w:rFonts w:hint="eastAsia" w:ascii="宋体" w:hAnsi="宋体" w:eastAsia="宋体"/>
          <w:sz w:val="28"/>
          <w:szCs w:val="28"/>
        </w:rPr>
        <w:t xml:space="preserve">（1）严格注意赛场用电安全，非赛场管理人员未经允许，不能随意拉接电源以及拔插设备； </w:t>
      </w:r>
    </w:p>
    <w:p w14:paraId="534CD5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（2）所有尖利的工具都用容器放置以避免引起伤害； </w:t>
      </w:r>
    </w:p>
    <w:p w14:paraId="3D557C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（3）所有产品在赛前需经过不良反应测试； </w:t>
      </w:r>
    </w:p>
    <w:p w14:paraId="56806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（4）所有接触皮肤的工具需经过消毒； </w:t>
      </w:r>
    </w:p>
    <w:p w14:paraId="45041C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（5）如选手发生紧急的身体状况，由赛场管理人员进行紧急处理。除非有集体性意外事件，否则本次比赛没有补时和重赛； </w:t>
      </w:r>
    </w:p>
    <w:p w14:paraId="6F55FD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（6）赛场内配备常见的应急药品，比赛期间赛场配备专业医护人员值班。 </w:t>
      </w:r>
    </w:p>
    <w:p w14:paraId="013E85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（7）赛前需对参赛选手进行安全教育。</w:t>
      </w:r>
    </w:p>
    <w:p w14:paraId="7E0A77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bookmarkStart w:id="6" w:name="_Toc3411"/>
      <w:bookmarkStart w:id="7" w:name="_Toc30990"/>
      <w:bookmarkStart w:id="8" w:name="_Toc129003131"/>
      <w:bookmarkStart w:id="9" w:name="_Toc57900074"/>
      <w:r>
        <w:rPr>
          <w:rFonts w:hint="eastAsia" w:ascii="宋体" w:hAnsi="宋体" w:eastAsia="宋体"/>
          <w:sz w:val="28"/>
          <w:szCs w:val="28"/>
        </w:rPr>
        <w:t>2.开放赛场</w:t>
      </w:r>
      <w:bookmarkEnd w:id="5"/>
      <w:bookmarkEnd w:id="6"/>
      <w:bookmarkEnd w:id="7"/>
      <w:bookmarkEnd w:id="8"/>
      <w:bookmarkEnd w:id="9"/>
    </w:p>
    <w:p w14:paraId="2316C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（1）参观者可在观摩区观摩，但不得进入比赛赛场内; </w:t>
      </w:r>
    </w:p>
    <w:p w14:paraId="38A304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（2）观摩人员应遵守赛场规则，不得与选手交谈，不得妨碍、干扰选手竞赛; </w:t>
      </w:r>
    </w:p>
    <w:p w14:paraId="3A645D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（3）观摩人员不得影响裁判员工作，不得对非本单位选手进行摄像; </w:t>
      </w:r>
    </w:p>
    <w:p w14:paraId="7FB8D0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（4）观摩人员须听从场地工作人员的管理，遵循赛场安全管理要求，不得在观摩区吸烟。</w:t>
      </w:r>
    </w:p>
    <w:p w14:paraId="400727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bookmarkStart w:id="10" w:name="_Toc23985"/>
      <w:bookmarkStart w:id="11" w:name="_Toc129003132"/>
      <w:bookmarkStart w:id="12" w:name="_Toc7693"/>
      <w:bookmarkStart w:id="13" w:name="_Toc57900075"/>
      <w:r>
        <w:rPr>
          <w:rFonts w:hint="eastAsia" w:ascii="宋体" w:hAnsi="宋体" w:eastAsia="宋体"/>
          <w:sz w:val="28"/>
          <w:szCs w:val="28"/>
        </w:rPr>
        <w:t>3.绿色环保</w:t>
      </w:r>
      <w:bookmarkEnd w:id="10"/>
      <w:bookmarkEnd w:id="11"/>
      <w:bookmarkEnd w:id="12"/>
      <w:bookmarkEnd w:id="13"/>
    </w:p>
    <w:p w14:paraId="3B3365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（1）大赛任何工作都不应该破坏赛场周边环境。 </w:t>
      </w:r>
    </w:p>
    <w:p w14:paraId="4E59C8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（2）提倡绿色制造的理念。所有可循环利用的材料都应分类处理和收集。</w:t>
      </w:r>
    </w:p>
    <w:p w14:paraId="308907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2"/>
          <w:szCs w:val="22"/>
        </w:rPr>
      </w:pPr>
      <w:bookmarkStart w:id="14" w:name="_Toc18834"/>
      <w:bookmarkStart w:id="15" w:name="_Toc129003125"/>
      <w:bookmarkStart w:id="16" w:name="_Toc57900068"/>
      <w:bookmarkStart w:id="17" w:name="_Toc28409"/>
      <w:bookmarkStart w:id="31" w:name="_GoBack"/>
      <w:bookmarkEnd w:id="31"/>
    </w:p>
    <w:p w14:paraId="010F0523">
      <w:pPr>
        <w:pStyle w:val="2"/>
        <w:spacing w:before="120" w:after="120" w:line="360" w:lineRule="auto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附件</w:t>
      </w:r>
    </w:p>
    <w:p w14:paraId="1F687771">
      <w:pPr>
        <w:pStyle w:val="2"/>
        <w:spacing w:before="120" w:after="120" w:line="360" w:lineRule="auto"/>
        <w:jc w:val="center"/>
      </w:pPr>
      <w:r>
        <w:rPr>
          <w:rFonts w:hint="eastAsia"/>
        </w:rPr>
        <w:t>竞赛场地与相关设施设备</w:t>
      </w:r>
      <w:bookmarkEnd w:id="14"/>
      <w:bookmarkEnd w:id="15"/>
      <w:bookmarkEnd w:id="16"/>
      <w:bookmarkEnd w:id="17"/>
    </w:p>
    <w:p w14:paraId="4689BA23">
      <w:pPr>
        <w:pStyle w:val="3"/>
        <w:spacing w:line="360" w:lineRule="auto"/>
        <w:rPr>
          <w:rFonts w:hAnsi="Times New Roman"/>
        </w:rPr>
      </w:pPr>
      <w:bookmarkStart w:id="18" w:name="_Toc57900069"/>
      <w:bookmarkStart w:id="19" w:name="_Toc129003126"/>
      <w:bookmarkStart w:id="20" w:name="_Toc28062"/>
      <w:bookmarkStart w:id="21" w:name="_Toc19038"/>
      <w:bookmarkStart w:id="22" w:name="_Toc481314010"/>
      <w:r>
        <w:rPr>
          <w:rFonts w:hint="eastAsia" w:hAnsi="Times New Roman"/>
        </w:rPr>
        <w:t>1.场地</w:t>
      </w:r>
      <w:r>
        <w:rPr>
          <w:rFonts w:hint="eastAsia" w:ascii="Times New Roman"/>
          <w:szCs w:val="24"/>
        </w:rPr>
        <w:t>设备工具：</w:t>
      </w:r>
      <w:bookmarkEnd w:id="18"/>
      <w:bookmarkEnd w:id="19"/>
      <w:bookmarkEnd w:id="20"/>
      <w:bookmarkEnd w:id="21"/>
    </w:p>
    <w:p w14:paraId="03028927">
      <w:pPr>
        <w:ind w:firstLine="480"/>
        <w:rPr>
          <w:rFonts w:ascii="Times New Roman"/>
          <w:szCs w:val="24"/>
        </w:rPr>
      </w:pPr>
      <w:r>
        <w:rPr>
          <w:rFonts w:hint="eastAsia" w:ascii="Times New Roman"/>
          <w:szCs w:val="24"/>
        </w:rPr>
        <w:t>（</w:t>
      </w:r>
      <w:r>
        <w:rPr>
          <w:rFonts w:hint="eastAsia" w:ascii="Times New Roman"/>
          <w:i/>
          <w:szCs w:val="24"/>
        </w:rPr>
        <w:t>以每一个选手必须配备</w:t>
      </w:r>
      <w:r>
        <w:rPr>
          <w:rFonts w:hint="eastAsia" w:ascii="Times New Roman"/>
          <w:szCs w:val="24"/>
        </w:rPr>
        <w:t>）</w:t>
      </w:r>
    </w:p>
    <w:tbl>
      <w:tblPr>
        <w:tblStyle w:val="11"/>
        <w:tblW w:w="8522" w:type="dxa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243"/>
        <w:gridCol w:w="1964"/>
        <w:gridCol w:w="1540"/>
        <w:gridCol w:w="1544"/>
      </w:tblGrid>
      <w:tr w14:paraId="5023EF90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7A0DBDE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243" w:type="dxa"/>
            <w:vAlign w:val="center"/>
          </w:tcPr>
          <w:p w14:paraId="0E4E64D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主体设备名称</w:t>
            </w:r>
          </w:p>
        </w:tc>
        <w:tc>
          <w:tcPr>
            <w:tcW w:w="1964" w:type="dxa"/>
            <w:vAlign w:val="center"/>
          </w:tcPr>
          <w:p w14:paraId="0135FA6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型号</w:t>
            </w:r>
          </w:p>
        </w:tc>
        <w:tc>
          <w:tcPr>
            <w:tcW w:w="1540" w:type="dxa"/>
            <w:vAlign w:val="center"/>
          </w:tcPr>
          <w:p w14:paraId="6B739B76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单位</w:t>
            </w:r>
          </w:p>
        </w:tc>
        <w:tc>
          <w:tcPr>
            <w:tcW w:w="1544" w:type="dxa"/>
            <w:vAlign w:val="center"/>
          </w:tcPr>
          <w:p w14:paraId="4333E8E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数量</w:t>
            </w:r>
          </w:p>
        </w:tc>
      </w:tr>
      <w:tr w14:paraId="1D1DEE7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07728B16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2243" w:type="dxa"/>
            <w:vAlign w:val="center"/>
          </w:tcPr>
          <w:p w14:paraId="440840DC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桌子</w:t>
            </w:r>
          </w:p>
        </w:tc>
        <w:tc>
          <w:tcPr>
            <w:tcW w:w="1964" w:type="dxa"/>
            <w:vAlign w:val="center"/>
          </w:tcPr>
          <w:p w14:paraId="074D5C0B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540" w:type="dxa"/>
          </w:tcPr>
          <w:p w14:paraId="33726B4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张</w:t>
            </w:r>
          </w:p>
        </w:tc>
        <w:tc>
          <w:tcPr>
            <w:tcW w:w="1544" w:type="dxa"/>
            <w:vAlign w:val="center"/>
          </w:tcPr>
          <w:p w14:paraId="51DF10B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76D6077D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065C887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  <w:tc>
          <w:tcPr>
            <w:tcW w:w="2243" w:type="dxa"/>
            <w:vAlign w:val="center"/>
          </w:tcPr>
          <w:p w14:paraId="04DD4E5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顾客椅</w:t>
            </w:r>
          </w:p>
        </w:tc>
        <w:tc>
          <w:tcPr>
            <w:tcW w:w="1964" w:type="dxa"/>
            <w:vAlign w:val="center"/>
          </w:tcPr>
          <w:p w14:paraId="34CF0367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540" w:type="dxa"/>
          </w:tcPr>
          <w:p w14:paraId="251981E6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张</w:t>
            </w:r>
          </w:p>
        </w:tc>
        <w:tc>
          <w:tcPr>
            <w:tcW w:w="1544" w:type="dxa"/>
            <w:vAlign w:val="center"/>
          </w:tcPr>
          <w:p w14:paraId="78DF780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2EE95EF2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0FC1AFA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2243" w:type="dxa"/>
            <w:vAlign w:val="center"/>
          </w:tcPr>
          <w:p w14:paraId="36A15868">
            <w:pPr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 w:cs="宋体"/>
                <w:szCs w:val="21"/>
              </w:rPr>
              <w:t>化妆师凳</w:t>
            </w:r>
          </w:p>
        </w:tc>
        <w:tc>
          <w:tcPr>
            <w:tcW w:w="1964" w:type="dxa"/>
            <w:vAlign w:val="center"/>
          </w:tcPr>
          <w:p w14:paraId="418C32D2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540" w:type="dxa"/>
          </w:tcPr>
          <w:p w14:paraId="31046C5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张</w:t>
            </w:r>
          </w:p>
        </w:tc>
        <w:tc>
          <w:tcPr>
            <w:tcW w:w="1544" w:type="dxa"/>
            <w:vAlign w:val="center"/>
          </w:tcPr>
          <w:p w14:paraId="5444D61F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7A1F3C1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F8F5BD0">
            <w:pPr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</w:t>
            </w:r>
          </w:p>
        </w:tc>
        <w:tc>
          <w:tcPr>
            <w:tcW w:w="2243" w:type="dxa"/>
            <w:vAlign w:val="center"/>
          </w:tcPr>
          <w:p w14:paraId="74ECA3A7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其他</w:t>
            </w:r>
          </w:p>
        </w:tc>
        <w:tc>
          <w:tcPr>
            <w:tcW w:w="5048" w:type="dxa"/>
            <w:gridSpan w:val="3"/>
            <w:vAlign w:val="center"/>
          </w:tcPr>
          <w:p w14:paraId="791650A2">
            <w:pPr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黑体" w:hAnsi="宋体" w:eastAsia="黑体"/>
              </w:rPr>
              <w:t>参照技能项目场地设备要求</w:t>
            </w:r>
          </w:p>
        </w:tc>
      </w:tr>
    </w:tbl>
    <w:p w14:paraId="179CD644">
      <w:pPr>
        <w:rPr>
          <w:rFonts w:ascii="Times New Roman" w:hAnsi="Times New Roman"/>
          <w:sz w:val="28"/>
          <w:szCs w:val="28"/>
        </w:rPr>
      </w:pPr>
    </w:p>
    <w:p w14:paraId="18590C86">
      <w:pPr>
        <w:pStyle w:val="3"/>
        <w:rPr>
          <w:rFonts w:ascii="Times New Roman"/>
          <w:szCs w:val="24"/>
        </w:rPr>
      </w:pPr>
      <w:bookmarkStart w:id="23" w:name="_Toc129003128"/>
      <w:bookmarkStart w:id="24" w:name="_Toc57900071"/>
      <w:bookmarkStart w:id="25" w:name="_Toc17998"/>
      <w:bookmarkStart w:id="26" w:name="_Toc27239"/>
      <w:r>
        <w:rPr>
          <w:rFonts w:hint="eastAsia" w:hAnsi="Times New Roman"/>
        </w:rPr>
        <w:t>2.</w:t>
      </w:r>
      <w:r>
        <w:rPr>
          <w:rFonts w:hint="eastAsia" w:ascii="Times New Roman"/>
          <w:szCs w:val="24"/>
        </w:rPr>
        <w:t>竞赛选手须自备的设备和工具：</w:t>
      </w:r>
      <w:bookmarkEnd w:id="23"/>
      <w:bookmarkEnd w:id="24"/>
      <w:bookmarkEnd w:id="25"/>
      <w:bookmarkEnd w:id="26"/>
    </w:p>
    <w:tbl>
      <w:tblPr>
        <w:tblStyle w:val="11"/>
        <w:tblW w:w="8522" w:type="dxa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243"/>
        <w:gridCol w:w="2834"/>
        <w:gridCol w:w="670"/>
        <w:gridCol w:w="1544"/>
      </w:tblGrid>
      <w:tr w14:paraId="412A6F66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26E32C2A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243" w:type="dxa"/>
            <w:vAlign w:val="center"/>
          </w:tcPr>
          <w:p w14:paraId="3419579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设备名称（或图片）</w:t>
            </w:r>
          </w:p>
        </w:tc>
        <w:tc>
          <w:tcPr>
            <w:tcW w:w="2834" w:type="dxa"/>
            <w:vAlign w:val="center"/>
          </w:tcPr>
          <w:p w14:paraId="3DDC000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型号</w:t>
            </w:r>
          </w:p>
        </w:tc>
        <w:tc>
          <w:tcPr>
            <w:tcW w:w="670" w:type="dxa"/>
            <w:vAlign w:val="center"/>
          </w:tcPr>
          <w:p w14:paraId="3D722090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单位</w:t>
            </w:r>
          </w:p>
        </w:tc>
        <w:tc>
          <w:tcPr>
            <w:tcW w:w="1544" w:type="dxa"/>
            <w:vAlign w:val="center"/>
          </w:tcPr>
          <w:p w14:paraId="04BEDBD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数量</w:t>
            </w:r>
          </w:p>
        </w:tc>
      </w:tr>
      <w:tr w14:paraId="29C1EEC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5912D7CF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2243" w:type="dxa"/>
            <w:vAlign w:val="center"/>
          </w:tcPr>
          <w:p w14:paraId="71189F95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水笔</w:t>
            </w:r>
          </w:p>
        </w:tc>
        <w:tc>
          <w:tcPr>
            <w:tcW w:w="2834" w:type="dxa"/>
            <w:vAlign w:val="center"/>
          </w:tcPr>
          <w:p w14:paraId="4A504A09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黑色</w:t>
            </w:r>
          </w:p>
        </w:tc>
        <w:tc>
          <w:tcPr>
            <w:tcW w:w="670" w:type="dxa"/>
          </w:tcPr>
          <w:p w14:paraId="3AF6FD1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支</w:t>
            </w:r>
          </w:p>
        </w:tc>
        <w:tc>
          <w:tcPr>
            <w:tcW w:w="1544" w:type="dxa"/>
            <w:vAlign w:val="center"/>
          </w:tcPr>
          <w:p w14:paraId="6FBC88E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799ED267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7D77977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2243" w:type="dxa"/>
            <w:vAlign w:val="center"/>
          </w:tcPr>
          <w:p w14:paraId="679EAF8F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服装</w:t>
            </w:r>
          </w:p>
        </w:tc>
        <w:tc>
          <w:tcPr>
            <w:tcW w:w="2834" w:type="dxa"/>
            <w:vAlign w:val="center"/>
          </w:tcPr>
          <w:p w14:paraId="47E48483">
            <w:pPr>
              <w:rPr>
                <w:rFonts w:ascii="宋体" w:hAnsi="宋体"/>
                <w:szCs w:val="24"/>
              </w:rPr>
            </w:pPr>
            <w:r>
              <w:t>符合竞赛命题的配套服装</w:t>
            </w:r>
          </w:p>
        </w:tc>
        <w:tc>
          <w:tcPr>
            <w:tcW w:w="670" w:type="dxa"/>
          </w:tcPr>
          <w:p w14:paraId="15EBAB24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支</w:t>
            </w:r>
          </w:p>
        </w:tc>
        <w:tc>
          <w:tcPr>
            <w:tcW w:w="1544" w:type="dxa"/>
            <w:vAlign w:val="center"/>
          </w:tcPr>
          <w:p w14:paraId="3912181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</w:tr>
      <w:tr w14:paraId="1F79D7F0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28DBE6F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</w:t>
            </w:r>
          </w:p>
        </w:tc>
        <w:tc>
          <w:tcPr>
            <w:tcW w:w="2243" w:type="dxa"/>
            <w:vAlign w:val="center"/>
          </w:tcPr>
          <w:p w14:paraId="6240B280">
            <w:pPr>
              <w:rPr>
                <w:rFonts w:ascii="宋体" w:hAnsi="宋体"/>
                <w:szCs w:val="24"/>
              </w:rPr>
            </w:pPr>
            <w:r>
              <w:t>常用面护、化妆用品</w:t>
            </w:r>
          </w:p>
        </w:tc>
        <w:tc>
          <w:tcPr>
            <w:tcW w:w="2834" w:type="dxa"/>
            <w:vAlign w:val="center"/>
          </w:tcPr>
          <w:p w14:paraId="52CD2548">
            <w:pPr>
              <w:rPr>
                <w:rFonts w:ascii="宋体" w:hAnsi="宋体"/>
                <w:szCs w:val="24"/>
              </w:rPr>
            </w:pPr>
            <w:r>
              <w:t>修颜隔离乳、粉底霜、散粉、修容饼、 眼影、液体眼影、口红、腮红、眼线膏、 眼线液笔、唇线笔、假睫毛、睫毛膏、 睫毛胶、四色眉粉、眉笔等</w:t>
            </w:r>
          </w:p>
        </w:tc>
        <w:tc>
          <w:tcPr>
            <w:tcW w:w="670" w:type="dxa"/>
          </w:tcPr>
          <w:p w14:paraId="239308C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支</w:t>
            </w:r>
          </w:p>
        </w:tc>
        <w:tc>
          <w:tcPr>
            <w:tcW w:w="1544" w:type="dxa"/>
            <w:vAlign w:val="center"/>
          </w:tcPr>
          <w:p w14:paraId="3CC92D4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58E4C50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2FCF36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5</w:t>
            </w:r>
          </w:p>
        </w:tc>
        <w:tc>
          <w:tcPr>
            <w:tcW w:w="2243" w:type="dxa"/>
            <w:vAlign w:val="center"/>
          </w:tcPr>
          <w:p w14:paraId="227B4265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常用化妆工具</w:t>
            </w:r>
          </w:p>
        </w:tc>
        <w:tc>
          <w:tcPr>
            <w:tcW w:w="2834" w:type="dxa"/>
            <w:vAlign w:val="center"/>
          </w:tcPr>
          <w:p w14:paraId="011284FB">
            <w:pPr>
              <w:rPr>
                <w:rFonts w:ascii="宋体" w:hAnsi="宋体"/>
                <w:szCs w:val="24"/>
              </w:rPr>
            </w:pPr>
            <w:r>
              <w:t>修眉镊子、眉剪、睫毛夹、粉扑、底妆 海绵、彩妆套刷、彩绘套刷、调色板、 调棒、棉签、化妆镜、收纳化妆包等</w:t>
            </w:r>
          </w:p>
        </w:tc>
        <w:tc>
          <w:tcPr>
            <w:tcW w:w="670" w:type="dxa"/>
          </w:tcPr>
          <w:p w14:paraId="5475D05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套</w:t>
            </w:r>
          </w:p>
        </w:tc>
        <w:tc>
          <w:tcPr>
            <w:tcW w:w="1544" w:type="dxa"/>
            <w:vAlign w:val="center"/>
          </w:tcPr>
          <w:p w14:paraId="63DE290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2508D188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231" w:type="dxa"/>
            <w:vAlign w:val="center"/>
          </w:tcPr>
          <w:p w14:paraId="3656277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6</w:t>
            </w:r>
          </w:p>
        </w:tc>
        <w:tc>
          <w:tcPr>
            <w:tcW w:w="2243" w:type="dxa"/>
            <w:vAlign w:val="center"/>
          </w:tcPr>
          <w:p w14:paraId="46C299D4">
            <w:pPr>
              <w:rPr>
                <w:rFonts w:ascii="宋体" w:hAnsi="宋体"/>
                <w:szCs w:val="24"/>
              </w:rPr>
            </w:pPr>
            <w:r>
              <w:t>常用发型用品及工具</w:t>
            </w:r>
          </w:p>
        </w:tc>
        <w:tc>
          <w:tcPr>
            <w:tcW w:w="2834" w:type="dxa"/>
            <w:vAlign w:val="center"/>
          </w:tcPr>
          <w:p w14:paraId="2DA822F8">
            <w:pPr>
              <w:rPr>
                <w:rFonts w:ascii="宋体" w:hAnsi="宋体"/>
                <w:szCs w:val="24"/>
              </w:rPr>
            </w:pPr>
            <w:r>
              <w:t>发胶、啫喱、发蜡、发油、梳子、皮筋、 发卡、发夹、吹风机、卷发棒、美发用品用具收纳包等</w:t>
            </w:r>
          </w:p>
        </w:tc>
        <w:tc>
          <w:tcPr>
            <w:tcW w:w="670" w:type="dxa"/>
          </w:tcPr>
          <w:p w14:paraId="1AE8056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套</w:t>
            </w:r>
          </w:p>
        </w:tc>
        <w:tc>
          <w:tcPr>
            <w:tcW w:w="1544" w:type="dxa"/>
            <w:vAlign w:val="center"/>
          </w:tcPr>
          <w:p w14:paraId="5981E12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39B54D82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41E082A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7</w:t>
            </w:r>
          </w:p>
        </w:tc>
        <w:tc>
          <w:tcPr>
            <w:tcW w:w="2243" w:type="dxa"/>
            <w:vAlign w:val="center"/>
          </w:tcPr>
          <w:p w14:paraId="357AAE09">
            <w:r>
              <w:t>发饰品</w:t>
            </w:r>
          </w:p>
        </w:tc>
        <w:tc>
          <w:tcPr>
            <w:tcW w:w="2834" w:type="dxa"/>
            <w:vAlign w:val="center"/>
          </w:tcPr>
          <w:p w14:paraId="0E68988C"/>
        </w:tc>
        <w:tc>
          <w:tcPr>
            <w:tcW w:w="670" w:type="dxa"/>
          </w:tcPr>
          <w:p w14:paraId="115185F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组</w:t>
            </w:r>
          </w:p>
        </w:tc>
        <w:tc>
          <w:tcPr>
            <w:tcW w:w="1544" w:type="dxa"/>
            <w:vAlign w:val="center"/>
          </w:tcPr>
          <w:p w14:paraId="4992F5D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1A91F6A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3DC5BF4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8</w:t>
            </w:r>
          </w:p>
        </w:tc>
        <w:tc>
          <w:tcPr>
            <w:tcW w:w="2243" w:type="dxa"/>
            <w:vAlign w:val="center"/>
          </w:tcPr>
          <w:p w14:paraId="5DB01A82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服饰品</w:t>
            </w:r>
          </w:p>
        </w:tc>
        <w:tc>
          <w:tcPr>
            <w:tcW w:w="2834" w:type="dxa"/>
            <w:vAlign w:val="center"/>
          </w:tcPr>
          <w:p w14:paraId="1C540E84">
            <w:pPr>
              <w:rPr>
                <w:rFonts w:ascii="宋体" w:hAnsi="宋体"/>
                <w:szCs w:val="24"/>
              </w:rPr>
            </w:pPr>
          </w:p>
        </w:tc>
        <w:tc>
          <w:tcPr>
            <w:tcW w:w="670" w:type="dxa"/>
          </w:tcPr>
          <w:p w14:paraId="5CB135B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组</w:t>
            </w:r>
          </w:p>
        </w:tc>
        <w:tc>
          <w:tcPr>
            <w:tcW w:w="1544" w:type="dxa"/>
            <w:vAlign w:val="center"/>
          </w:tcPr>
          <w:p w14:paraId="473D17D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7EF5DF8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30955C4F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9</w:t>
            </w:r>
          </w:p>
        </w:tc>
        <w:tc>
          <w:tcPr>
            <w:tcW w:w="2243" w:type="dxa"/>
            <w:vAlign w:val="center"/>
          </w:tcPr>
          <w:p w14:paraId="06F31EB5">
            <w:pPr>
              <w:rPr>
                <w:rFonts w:ascii="宋体" w:hAnsi="宋体"/>
                <w:szCs w:val="24"/>
              </w:rPr>
            </w:pPr>
            <w:r>
              <w:t>消毒液/酒精棉</w:t>
            </w:r>
          </w:p>
        </w:tc>
        <w:tc>
          <w:tcPr>
            <w:tcW w:w="2834" w:type="dxa"/>
            <w:vAlign w:val="center"/>
          </w:tcPr>
          <w:p w14:paraId="1F57B31D">
            <w:pPr>
              <w:rPr>
                <w:rFonts w:ascii="宋体" w:hAnsi="宋体"/>
                <w:szCs w:val="24"/>
              </w:rPr>
            </w:pPr>
          </w:p>
        </w:tc>
        <w:tc>
          <w:tcPr>
            <w:tcW w:w="670" w:type="dxa"/>
          </w:tcPr>
          <w:p w14:paraId="453014F6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瓶</w:t>
            </w:r>
          </w:p>
        </w:tc>
        <w:tc>
          <w:tcPr>
            <w:tcW w:w="1544" w:type="dxa"/>
            <w:vAlign w:val="center"/>
          </w:tcPr>
          <w:p w14:paraId="34F94BEF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0AD0C0A5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206CCA9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10</w:t>
            </w:r>
          </w:p>
        </w:tc>
        <w:tc>
          <w:tcPr>
            <w:tcW w:w="2243" w:type="dxa"/>
            <w:vAlign w:val="center"/>
          </w:tcPr>
          <w:p w14:paraId="1FA498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纸巾</w:t>
            </w:r>
          </w:p>
        </w:tc>
        <w:tc>
          <w:tcPr>
            <w:tcW w:w="2834" w:type="dxa"/>
            <w:vAlign w:val="center"/>
          </w:tcPr>
          <w:p w14:paraId="71754C7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670" w:type="dxa"/>
          </w:tcPr>
          <w:p w14:paraId="592A3E54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包</w:t>
            </w:r>
          </w:p>
        </w:tc>
        <w:tc>
          <w:tcPr>
            <w:tcW w:w="1544" w:type="dxa"/>
            <w:vAlign w:val="center"/>
          </w:tcPr>
          <w:p w14:paraId="78BF4E99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5B4EDB9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968AD6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11</w:t>
            </w:r>
          </w:p>
        </w:tc>
        <w:tc>
          <w:tcPr>
            <w:tcW w:w="2243" w:type="dxa"/>
            <w:vAlign w:val="center"/>
          </w:tcPr>
          <w:p w14:paraId="0642434A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湿巾</w:t>
            </w:r>
          </w:p>
        </w:tc>
        <w:tc>
          <w:tcPr>
            <w:tcW w:w="2834" w:type="dxa"/>
            <w:vAlign w:val="center"/>
          </w:tcPr>
          <w:p w14:paraId="65C25452">
            <w:pPr>
              <w:rPr>
                <w:rFonts w:ascii="宋体" w:hAnsi="宋体"/>
                <w:szCs w:val="24"/>
              </w:rPr>
            </w:pPr>
          </w:p>
        </w:tc>
        <w:tc>
          <w:tcPr>
            <w:tcW w:w="670" w:type="dxa"/>
          </w:tcPr>
          <w:p w14:paraId="6889E0E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包</w:t>
            </w:r>
          </w:p>
        </w:tc>
        <w:tc>
          <w:tcPr>
            <w:tcW w:w="1544" w:type="dxa"/>
            <w:vAlign w:val="center"/>
          </w:tcPr>
          <w:p w14:paraId="13C2B4B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  <w:tr w14:paraId="650EB4C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7A99AF39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12</w:t>
            </w:r>
          </w:p>
        </w:tc>
        <w:tc>
          <w:tcPr>
            <w:tcW w:w="2243" w:type="dxa"/>
            <w:vAlign w:val="center"/>
          </w:tcPr>
          <w:p w14:paraId="45B27780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垃圾袋</w:t>
            </w:r>
          </w:p>
        </w:tc>
        <w:tc>
          <w:tcPr>
            <w:tcW w:w="2834" w:type="dxa"/>
            <w:vAlign w:val="center"/>
          </w:tcPr>
          <w:p w14:paraId="6BCA3AB4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家用中</w:t>
            </w:r>
            <w:r>
              <w:rPr>
                <w:rFonts w:hint="eastAsia" w:ascii="宋体" w:hAnsi="宋体"/>
                <w:szCs w:val="24"/>
              </w:rPr>
              <w:t>/大</w:t>
            </w:r>
            <w:r>
              <w:rPr>
                <w:rFonts w:ascii="宋体" w:hAnsi="宋体"/>
                <w:szCs w:val="24"/>
              </w:rPr>
              <w:t>号</w:t>
            </w:r>
          </w:p>
        </w:tc>
        <w:tc>
          <w:tcPr>
            <w:tcW w:w="670" w:type="dxa"/>
          </w:tcPr>
          <w:p w14:paraId="5A46FC2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个</w:t>
            </w:r>
          </w:p>
        </w:tc>
        <w:tc>
          <w:tcPr>
            <w:tcW w:w="1544" w:type="dxa"/>
            <w:vAlign w:val="center"/>
          </w:tcPr>
          <w:p w14:paraId="565F013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</w:tr>
    </w:tbl>
    <w:p w14:paraId="7D207EBB">
      <w:pPr>
        <w:ind w:firstLine="480"/>
        <w:rPr>
          <w:rFonts w:ascii="Times New Roman"/>
          <w:szCs w:val="24"/>
        </w:rPr>
      </w:pPr>
      <w:r>
        <w:rPr>
          <w:rFonts w:hint="eastAsia" w:ascii="Times New Roman"/>
          <w:szCs w:val="24"/>
        </w:rPr>
        <w:t>除以上列表的材料、工具以外的材料、工具需报备专家组长同意后才能带入赛场使用。</w:t>
      </w:r>
    </w:p>
    <w:p w14:paraId="62D9D596">
      <w:pPr>
        <w:ind w:firstLine="480"/>
        <w:rPr>
          <w:rFonts w:ascii="Times New Roman"/>
          <w:szCs w:val="24"/>
        </w:rPr>
      </w:pPr>
    </w:p>
    <w:p w14:paraId="6F2A17E2">
      <w:pPr>
        <w:pStyle w:val="3"/>
        <w:rPr>
          <w:rFonts w:ascii="Times New Roman"/>
          <w:szCs w:val="24"/>
        </w:rPr>
      </w:pPr>
      <w:bookmarkStart w:id="27" w:name="_Toc129003129"/>
      <w:bookmarkStart w:id="28" w:name="_Toc57900072"/>
      <w:bookmarkStart w:id="29" w:name="_Toc23439"/>
      <w:bookmarkStart w:id="30" w:name="_Toc6683"/>
      <w:r>
        <w:rPr>
          <w:rFonts w:hint="eastAsia" w:hAnsi="Times New Roman"/>
        </w:rPr>
        <w:t>3.</w:t>
      </w:r>
      <w:r>
        <w:rPr>
          <w:rFonts w:hint="eastAsia" w:ascii="Times New Roman"/>
          <w:szCs w:val="24"/>
        </w:rPr>
        <w:t>竞赛场地禁止自带使用的设备和材料：</w:t>
      </w:r>
      <w:bookmarkEnd w:id="27"/>
      <w:bookmarkEnd w:id="28"/>
      <w:bookmarkEnd w:id="29"/>
      <w:bookmarkEnd w:id="30"/>
    </w:p>
    <w:tbl>
      <w:tblPr>
        <w:tblStyle w:val="11"/>
        <w:tblW w:w="8522" w:type="dxa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7291"/>
      </w:tblGrid>
      <w:tr w14:paraId="5DB3E443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5C0072E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7291" w:type="dxa"/>
            <w:vAlign w:val="center"/>
          </w:tcPr>
          <w:p w14:paraId="2A470AB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设备和材料名称</w:t>
            </w:r>
          </w:p>
        </w:tc>
      </w:tr>
      <w:tr w14:paraId="29CC0BF5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729E58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7291" w:type="dxa"/>
            <w:vAlign w:val="center"/>
          </w:tcPr>
          <w:p w14:paraId="7A54F861">
            <w:pPr>
              <w:jc w:val="center"/>
              <w:rPr>
                <w:rFonts w:ascii="宋体" w:hAnsi="宋体"/>
                <w:szCs w:val="24"/>
              </w:rPr>
            </w:pPr>
            <w:r>
              <w:t>储存液体、气体的压力容器</w:t>
            </w:r>
          </w:p>
        </w:tc>
      </w:tr>
      <w:tr w14:paraId="0A09F8A3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58B430A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  <w:tc>
          <w:tcPr>
            <w:tcW w:w="7291" w:type="dxa"/>
            <w:vAlign w:val="center"/>
          </w:tcPr>
          <w:p w14:paraId="0E59ED01">
            <w:pPr>
              <w:jc w:val="center"/>
              <w:rPr>
                <w:rFonts w:ascii="宋体" w:hAnsi="宋体"/>
                <w:szCs w:val="24"/>
              </w:rPr>
            </w:pPr>
            <w:r>
              <w:t>易燃、易爆物品，有毒、有害物品</w:t>
            </w:r>
          </w:p>
        </w:tc>
      </w:tr>
      <w:tr w14:paraId="5FBD472D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8F792A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7291" w:type="dxa"/>
            <w:vAlign w:val="center"/>
          </w:tcPr>
          <w:p w14:paraId="586BD183">
            <w:pPr>
              <w:jc w:val="center"/>
              <w:rPr>
                <w:rFonts w:ascii="宋体" w:hAnsi="宋体"/>
                <w:szCs w:val="24"/>
              </w:rPr>
            </w:pPr>
            <w:r>
              <w:t>有腐蚀性、放射性的化学物品</w:t>
            </w:r>
          </w:p>
        </w:tc>
      </w:tr>
      <w:tr w14:paraId="1795D8D3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1D14899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</w:t>
            </w:r>
          </w:p>
        </w:tc>
        <w:tc>
          <w:tcPr>
            <w:tcW w:w="7291" w:type="dxa"/>
            <w:vAlign w:val="center"/>
          </w:tcPr>
          <w:p w14:paraId="39A323EA">
            <w:pPr>
              <w:jc w:val="center"/>
              <w:rPr>
                <w:rFonts w:ascii="宋体" w:hAnsi="宋体"/>
                <w:szCs w:val="24"/>
              </w:rPr>
            </w:pPr>
            <w:r>
              <w:t>没有生产厂商或未达到国家安全标准的工具及设备</w:t>
            </w:r>
          </w:p>
        </w:tc>
      </w:tr>
      <w:tr w14:paraId="4FBD629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1" w:type="dxa"/>
            <w:vAlign w:val="center"/>
          </w:tcPr>
          <w:p w14:paraId="69ECBB10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5</w:t>
            </w:r>
          </w:p>
        </w:tc>
        <w:tc>
          <w:tcPr>
            <w:tcW w:w="7291" w:type="dxa"/>
            <w:vAlign w:val="center"/>
          </w:tcPr>
          <w:p w14:paraId="22CA4F92">
            <w:pPr>
              <w:jc w:val="center"/>
              <w:rPr>
                <w:rFonts w:ascii="宋体" w:hAnsi="宋体"/>
                <w:szCs w:val="24"/>
              </w:rPr>
            </w:pPr>
            <w:r>
              <w:t>可能危及安全问题的物品</w:t>
            </w:r>
          </w:p>
        </w:tc>
      </w:tr>
      <w:bookmarkEnd w:id="22"/>
    </w:tbl>
    <w:p w14:paraId="095D6811">
      <w:pPr>
        <w:pStyle w:val="8"/>
      </w:pPr>
    </w:p>
    <w:sectPr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0E5F"/>
    <w:rsid w:val="00014AB9"/>
    <w:rsid w:val="00014EB3"/>
    <w:rsid w:val="000250F9"/>
    <w:rsid w:val="00027D9F"/>
    <w:rsid w:val="00054B58"/>
    <w:rsid w:val="00067540"/>
    <w:rsid w:val="00072721"/>
    <w:rsid w:val="000A07FF"/>
    <w:rsid w:val="000C12A6"/>
    <w:rsid w:val="000D34AD"/>
    <w:rsid w:val="000E0BE6"/>
    <w:rsid w:val="000F1F03"/>
    <w:rsid w:val="00115693"/>
    <w:rsid w:val="0011695A"/>
    <w:rsid w:val="00124195"/>
    <w:rsid w:val="001326DF"/>
    <w:rsid w:val="00146CD4"/>
    <w:rsid w:val="001541D1"/>
    <w:rsid w:val="001645BF"/>
    <w:rsid w:val="00172ABE"/>
    <w:rsid w:val="001748AE"/>
    <w:rsid w:val="00185DDC"/>
    <w:rsid w:val="00191826"/>
    <w:rsid w:val="001B2420"/>
    <w:rsid w:val="001B6016"/>
    <w:rsid w:val="001C6AE3"/>
    <w:rsid w:val="001E0AF8"/>
    <w:rsid w:val="001F03C1"/>
    <w:rsid w:val="00261FC6"/>
    <w:rsid w:val="0026782F"/>
    <w:rsid w:val="00291FFF"/>
    <w:rsid w:val="002A7777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75C35"/>
    <w:rsid w:val="00391022"/>
    <w:rsid w:val="003A2145"/>
    <w:rsid w:val="003A2E13"/>
    <w:rsid w:val="003D37D8"/>
    <w:rsid w:val="003E7D77"/>
    <w:rsid w:val="00410D66"/>
    <w:rsid w:val="00426133"/>
    <w:rsid w:val="0042645A"/>
    <w:rsid w:val="004310B4"/>
    <w:rsid w:val="00432041"/>
    <w:rsid w:val="004358AB"/>
    <w:rsid w:val="004400AD"/>
    <w:rsid w:val="0044340C"/>
    <w:rsid w:val="004533C4"/>
    <w:rsid w:val="00467717"/>
    <w:rsid w:val="0049409E"/>
    <w:rsid w:val="004966C2"/>
    <w:rsid w:val="004A519E"/>
    <w:rsid w:val="004B2EE8"/>
    <w:rsid w:val="004C3294"/>
    <w:rsid w:val="004E1E40"/>
    <w:rsid w:val="004E3D33"/>
    <w:rsid w:val="004E5DDF"/>
    <w:rsid w:val="004E6BB3"/>
    <w:rsid w:val="004F4AAD"/>
    <w:rsid w:val="004F627D"/>
    <w:rsid w:val="00501A92"/>
    <w:rsid w:val="005911EC"/>
    <w:rsid w:val="005A0935"/>
    <w:rsid w:val="005E09CC"/>
    <w:rsid w:val="006449C3"/>
    <w:rsid w:val="00650FEE"/>
    <w:rsid w:val="00655C65"/>
    <w:rsid w:val="0067207B"/>
    <w:rsid w:val="006740AE"/>
    <w:rsid w:val="0068016C"/>
    <w:rsid w:val="00681A8A"/>
    <w:rsid w:val="0068239E"/>
    <w:rsid w:val="00686F26"/>
    <w:rsid w:val="00696BF8"/>
    <w:rsid w:val="006A3863"/>
    <w:rsid w:val="006A3F4A"/>
    <w:rsid w:val="006A747A"/>
    <w:rsid w:val="006B1D05"/>
    <w:rsid w:val="006D270B"/>
    <w:rsid w:val="006E13A9"/>
    <w:rsid w:val="006E657C"/>
    <w:rsid w:val="006E7084"/>
    <w:rsid w:val="00703764"/>
    <w:rsid w:val="007210F4"/>
    <w:rsid w:val="00727A0C"/>
    <w:rsid w:val="00731E8B"/>
    <w:rsid w:val="00736060"/>
    <w:rsid w:val="00740C08"/>
    <w:rsid w:val="0074126E"/>
    <w:rsid w:val="00751753"/>
    <w:rsid w:val="00755C5C"/>
    <w:rsid w:val="00761E0F"/>
    <w:rsid w:val="007A5903"/>
    <w:rsid w:val="007B7E5E"/>
    <w:rsid w:val="007D27A9"/>
    <w:rsid w:val="00800E9A"/>
    <w:rsid w:val="008041B5"/>
    <w:rsid w:val="008129F5"/>
    <w:rsid w:val="00827954"/>
    <w:rsid w:val="00841775"/>
    <w:rsid w:val="0087623B"/>
    <w:rsid w:val="0089397C"/>
    <w:rsid w:val="008B7726"/>
    <w:rsid w:val="008C32BB"/>
    <w:rsid w:val="008D1461"/>
    <w:rsid w:val="008D1A0B"/>
    <w:rsid w:val="008F2AE5"/>
    <w:rsid w:val="00900C45"/>
    <w:rsid w:val="00920AC5"/>
    <w:rsid w:val="00927718"/>
    <w:rsid w:val="00961012"/>
    <w:rsid w:val="0096454B"/>
    <w:rsid w:val="00986640"/>
    <w:rsid w:val="00993197"/>
    <w:rsid w:val="00996425"/>
    <w:rsid w:val="009A3B90"/>
    <w:rsid w:val="009A7222"/>
    <w:rsid w:val="009C1FBA"/>
    <w:rsid w:val="009D18B6"/>
    <w:rsid w:val="009D1A84"/>
    <w:rsid w:val="009E5DAD"/>
    <w:rsid w:val="009F4847"/>
    <w:rsid w:val="009F70C0"/>
    <w:rsid w:val="00A110D0"/>
    <w:rsid w:val="00A147F9"/>
    <w:rsid w:val="00A43045"/>
    <w:rsid w:val="00A73273"/>
    <w:rsid w:val="00A80CA6"/>
    <w:rsid w:val="00AA1867"/>
    <w:rsid w:val="00AA57E6"/>
    <w:rsid w:val="00AB729A"/>
    <w:rsid w:val="00B166F1"/>
    <w:rsid w:val="00B27833"/>
    <w:rsid w:val="00B367CE"/>
    <w:rsid w:val="00B4285F"/>
    <w:rsid w:val="00B44BE4"/>
    <w:rsid w:val="00B83FD1"/>
    <w:rsid w:val="00BC1CDE"/>
    <w:rsid w:val="00BC5498"/>
    <w:rsid w:val="00BE6E4E"/>
    <w:rsid w:val="00BE6E98"/>
    <w:rsid w:val="00BF77E7"/>
    <w:rsid w:val="00C02BD8"/>
    <w:rsid w:val="00C35118"/>
    <w:rsid w:val="00C43755"/>
    <w:rsid w:val="00C45B18"/>
    <w:rsid w:val="00C463DE"/>
    <w:rsid w:val="00C91160"/>
    <w:rsid w:val="00C9418F"/>
    <w:rsid w:val="00CA6540"/>
    <w:rsid w:val="00CF5BBA"/>
    <w:rsid w:val="00D063AA"/>
    <w:rsid w:val="00D16C19"/>
    <w:rsid w:val="00D31D50"/>
    <w:rsid w:val="00D47021"/>
    <w:rsid w:val="00D756CB"/>
    <w:rsid w:val="00D90ACF"/>
    <w:rsid w:val="00D93528"/>
    <w:rsid w:val="00DB26A6"/>
    <w:rsid w:val="00DC601C"/>
    <w:rsid w:val="00DD587D"/>
    <w:rsid w:val="00E03F79"/>
    <w:rsid w:val="00E17E91"/>
    <w:rsid w:val="00E27D59"/>
    <w:rsid w:val="00E365B1"/>
    <w:rsid w:val="00E47E9B"/>
    <w:rsid w:val="00E56EBC"/>
    <w:rsid w:val="00E71134"/>
    <w:rsid w:val="00E77791"/>
    <w:rsid w:val="00E80D29"/>
    <w:rsid w:val="00E8286F"/>
    <w:rsid w:val="00E90703"/>
    <w:rsid w:val="00ED5824"/>
    <w:rsid w:val="00EF49F3"/>
    <w:rsid w:val="00EF7670"/>
    <w:rsid w:val="00F02243"/>
    <w:rsid w:val="00F05552"/>
    <w:rsid w:val="00F13747"/>
    <w:rsid w:val="00F32847"/>
    <w:rsid w:val="00F3790E"/>
    <w:rsid w:val="00F72C8E"/>
    <w:rsid w:val="00F82042"/>
    <w:rsid w:val="00F85F9E"/>
    <w:rsid w:val="00F91C9F"/>
    <w:rsid w:val="00FA33BB"/>
    <w:rsid w:val="00FC0400"/>
    <w:rsid w:val="00FD2545"/>
    <w:rsid w:val="02C53E08"/>
    <w:rsid w:val="0778263D"/>
    <w:rsid w:val="1B23058D"/>
    <w:rsid w:val="1B6928B6"/>
    <w:rsid w:val="20EB5D50"/>
    <w:rsid w:val="259D4EAF"/>
    <w:rsid w:val="3DAC754E"/>
    <w:rsid w:val="435E06A0"/>
    <w:rsid w:val="438837D9"/>
    <w:rsid w:val="488715C9"/>
    <w:rsid w:val="51A40034"/>
    <w:rsid w:val="55742FD9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hAnsi="Cambria" w:eastAsia="宋体"/>
      <w:b/>
      <w:bCs/>
      <w:kern w:val="2"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Body Text Indent"/>
    <w:basedOn w:val="1"/>
    <w:link w:val="15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6">
    <w:name w:val="Date"/>
    <w:basedOn w:val="1"/>
    <w:next w:val="1"/>
    <w:link w:val="14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7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link w:val="6"/>
    <w:semiHidden/>
    <w:qFormat/>
    <w:uiPriority w:val="99"/>
    <w:rPr>
      <w:rFonts w:ascii="Tahoma" w:hAnsi="Tahoma"/>
    </w:rPr>
  </w:style>
  <w:style w:type="character" w:customStyle="1" w:styleId="15">
    <w:name w:val="正文文本缩进 Char"/>
    <w:link w:val="5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6">
    <w:name w:val="批注框文本 Char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link w:val="8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2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20">
    <w:name w:val="标题 2 Char"/>
    <w:basedOn w:val="12"/>
    <w:link w:val="3"/>
    <w:qFormat/>
    <w:uiPriority w:val="9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8995</Words>
  <Characters>9355</Characters>
  <Lines>78</Lines>
  <Paragraphs>22</Paragraphs>
  <TotalTime>18</TotalTime>
  <ScaleCrop>false</ScaleCrop>
  <LinksUpToDate>false</LinksUpToDate>
  <CharactersWithSpaces>10191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2024-08-19T02:00:18Z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